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00" w:type="dxa"/>
        <w:tblCellSpacing w:w="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Layout w:type="autofit"/>
        <w:tblCellMar>
          <w:top w:w="0" w:type="dxa"/>
          <w:left w:w="10" w:type="dxa"/>
          <w:bottom w:w="0" w:type="dxa"/>
          <w:right w:w="10" w:type="dxa"/>
        </w:tblCellMar>
      </w:tblPr>
      <w:tblGrid>
        <w:gridCol w:w="2254"/>
        <w:gridCol w:w="6746"/>
      </w:tblGrid>
      <w:tr w14:paraId="316F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CellMar>
            <w:top w:w="0" w:type="dxa"/>
            <w:left w:w="10" w:type="dxa"/>
            <w:bottom w:w="0" w:type="dxa"/>
            <w:right w:w="10" w:type="dxa"/>
          </w:tblCellMar>
        </w:tblPrEx>
        <w:trPr>
          <w:tblCellSpacing w:w="60" w:type="dxa"/>
        </w:trPr>
        <w:tc>
          <w:tcPr>
            <w:tcW w:w="1200" w:type="pct"/>
            <w:shd w:val="clear" w:color="auto" w:fill="E7F0F9"/>
          </w:tcPr>
          <w:p w14:paraId="73420F1B">
            <w:pPr>
              <w:spacing w:before="0" w:after="0" w:line="240" w:lineRule="auto"/>
              <w:jc w:val="left"/>
            </w:pPr>
            <w:bookmarkStart w:id="0" w:name="_GoBack"/>
            <w:bookmarkEnd w:id="0"/>
            <w:r>
              <w:rPr>
                <w:b/>
              </w:rPr>
              <w:t>RKP broj</w:t>
            </w:r>
          </w:p>
        </w:tc>
        <w:tc>
          <w:tcPr>
            <w:shd w:val="clear" w:color="auto" w:fill="E7F0F9"/>
          </w:tcPr>
          <w:p w14:paraId="11A18A82">
            <w:pPr>
              <w:spacing w:before="0" w:after="0" w:line="240" w:lineRule="auto"/>
              <w:jc w:val="left"/>
            </w:pPr>
            <w:r>
              <w:t>10516</w:t>
            </w:r>
          </w:p>
        </w:tc>
      </w:tr>
      <w:tr w14:paraId="75AD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CellMar>
            <w:top w:w="0" w:type="dxa"/>
            <w:left w:w="10" w:type="dxa"/>
            <w:bottom w:w="0" w:type="dxa"/>
            <w:right w:w="10" w:type="dxa"/>
          </w:tblCellMar>
        </w:tblPrEx>
        <w:trPr>
          <w:tblCellSpacing w:w="60" w:type="dxa"/>
        </w:trPr>
        <w:tc>
          <w:tcPr>
            <w:tcW w:w="1200" w:type="pct"/>
            <w:shd w:val="clear" w:color="auto" w:fill="E7F0F9"/>
          </w:tcPr>
          <w:p w14:paraId="0C871227">
            <w:pPr>
              <w:spacing w:before="0" w:after="0" w:line="240" w:lineRule="auto"/>
              <w:jc w:val="left"/>
            </w:pPr>
            <w:r>
              <w:rPr>
                <w:b/>
              </w:rPr>
              <w:t>Naziv obveznika</w:t>
            </w:r>
          </w:p>
        </w:tc>
        <w:tc>
          <w:tcPr>
            <w:shd w:val="clear" w:color="auto" w:fill="E7F0F9"/>
          </w:tcPr>
          <w:p w14:paraId="48BDA9F4">
            <w:pPr>
              <w:spacing w:before="0" w:after="0" w:line="240" w:lineRule="auto"/>
              <w:jc w:val="left"/>
            </w:pPr>
            <w:r>
              <w:t>OSNOVNA ŠKOLA BROD MORAVICE</w:t>
            </w:r>
          </w:p>
        </w:tc>
      </w:tr>
      <w:tr w14:paraId="5EDE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F0F9"/>
          <w:tblCellMar>
            <w:top w:w="0" w:type="dxa"/>
            <w:left w:w="10" w:type="dxa"/>
            <w:bottom w:w="0" w:type="dxa"/>
            <w:right w:w="10" w:type="dxa"/>
          </w:tblCellMar>
        </w:tblPrEx>
        <w:trPr>
          <w:tblCellSpacing w:w="60" w:type="dxa"/>
        </w:trPr>
        <w:tc>
          <w:tcPr>
            <w:tcW w:w="1200" w:type="pct"/>
            <w:shd w:val="clear" w:color="auto" w:fill="E7F0F9"/>
          </w:tcPr>
          <w:p w14:paraId="514D0114">
            <w:pPr>
              <w:spacing w:before="0" w:after="0" w:line="240" w:lineRule="auto"/>
              <w:jc w:val="left"/>
            </w:pPr>
            <w:r>
              <w:rPr>
                <w:b/>
              </w:rPr>
              <w:t>Razina</w:t>
            </w:r>
          </w:p>
        </w:tc>
        <w:tc>
          <w:tcPr>
            <w:shd w:val="clear" w:color="auto" w:fill="E7F0F9"/>
          </w:tcPr>
          <w:p w14:paraId="462C7847">
            <w:pPr>
              <w:spacing w:before="0" w:after="0" w:line="240" w:lineRule="auto"/>
              <w:jc w:val="left"/>
            </w:pPr>
            <w:r>
              <w:t>31</w:t>
            </w:r>
          </w:p>
        </w:tc>
      </w:tr>
    </w:tbl>
    <w:p w14:paraId="368953C2">
      <w:r>
        <w:br w:type="textWrapping"/>
      </w:r>
    </w:p>
    <w:p w14:paraId="079AB822">
      <w:pPr>
        <w:spacing w:line="240" w:lineRule="auto"/>
        <w:jc w:val="center"/>
      </w:pPr>
      <w:r>
        <w:rPr>
          <w:rFonts w:ascii="Times New Roman" w:hAnsi="Times New Roman"/>
          <w:b/>
          <w:sz w:val="28"/>
        </w:rPr>
        <w:t>BILJEŠKE UZ FINANCIJSKE IZVJEŠTAJE</w:t>
      </w:r>
    </w:p>
    <w:p w14:paraId="44D0BFDD">
      <w:pPr>
        <w:spacing w:line="240" w:lineRule="auto"/>
        <w:jc w:val="center"/>
      </w:pPr>
      <w:r>
        <w:rPr>
          <w:rFonts w:ascii="Times New Roman" w:hAnsi="Times New Roman"/>
          <w:b/>
          <w:sz w:val="28"/>
        </w:rPr>
        <w:t>ZA RAZDOBLJE</w:t>
      </w:r>
    </w:p>
    <w:p w14:paraId="5ECD9D85">
      <w:pPr>
        <w:spacing w:line="240" w:lineRule="auto"/>
        <w:jc w:val="center"/>
      </w:pPr>
      <w:r>
        <w:rPr>
          <w:rFonts w:ascii="Times New Roman" w:hAnsi="Times New Roman"/>
          <w:b/>
          <w:sz w:val="28"/>
        </w:rPr>
        <w:t>I - XII 2025.</w:t>
      </w:r>
    </w:p>
    <w:p w14:paraId="1CF40F58"/>
    <w:p w14:paraId="2D61B885">
      <w:pPr>
        <w:keepNext/>
        <w:spacing w:line="240" w:lineRule="auto"/>
        <w:jc w:val="center"/>
      </w:pPr>
      <w:r>
        <w:rPr>
          <w:rFonts w:ascii="Times New Roman" w:hAnsi="Times New Roman"/>
          <w:b/>
          <w:sz w:val="28"/>
        </w:rPr>
        <w:t>Izvještaj o prihodima i rashodima, primicima i izdacima</w:t>
      </w:r>
    </w:p>
    <w:p w14:paraId="49C004AB">
      <w:pPr>
        <w:keepNext/>
        <w:spacing w:line="240" w:lineRule="auto"/>
        <w:jc w:val="center"/>
      </w:pPr>
      <w:r>
        <w:rPr>
          <w:rFonts w:ascii="Times New Roman" w:hAnsi="Times New Roman"/>
          <w:sz w:val="28"/>
        </w:rPr>
        <w:t>Bilješka 1.</w:t>
      </w:r>
    </w:p>
    <w:tbl>
      <w:tblPr>
        <w:tblStyle w:val="3"/>
        <w:tblW w:w="0" w:type="auto"/>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7E2E5CD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440C6EC4">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0415F12">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CD2816E">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4C834EE6">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505110D1">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484F429F">
            <w:pPr>
              <w:keepNext/>
              <w:keepLines/>
              <w:spacing w:before="0" w:after="0" w:line="240" w:lineRule="auto"/>
              <w:jc w:val="center"/>
            </w:pPr>
            <w:r>
              <w:rPr>
                <w:rFonts w:ascii="Times New Roman" w:hAnsi="Times New Roman"/>
                <w:b/>
                <w:sz w:val="18"/>
              </w:rPr>
              <w:t>Indeks (%)</w:t>
            </w:r>
          </w:p>
        </w:tc>
      </w:tr>
      <w:tr w14:paraId="2D218D85">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2401036">
            <w:pPr>
              <w:keepNext/>
              <w:keepLines/>
              <w:spacing w:before="0" w:after="0" w:line="240" w:lineRule="auto"/>
              <w:jc w:val="left"/>
            </w:pPr>
            <w:r>
              <w:rPr>
                <w:rFonts w:ascii="Times New Roman" w:hAnsi="Times New Roman"/>
                <w:sz w:val="18"/>
              </w:rPr>
              <w:t>6</w:t>
            </w:r>
          </w:p>
        </w:tc>
        <w:tc>
          <w:tcPr>
            <w:tcMar>
              <w:top w:w="0" w:type="dxa"/>
              <w:bottom w:w="0" w:type="dxa"/>
            </w:tcMar>
            <w:vAlign w:val="center"/>
          </w:tcPr>
          <w:p w14:paraId="507423A4">
            <w:pPr>
              <w:keepNext/>
              <w:keepLines/>
              <w:spacing w:before="0" w:after="0" w:line="240" w:lineRule="auto"/>
              <w:jc w:val="left"/>
            </w:pPr>
            <w:r>
              <w:rPr>
                <w:rFonts w:ascii="Times New Roman" w:hAnsi="Times New Roman"/>
                <w:sz w:val="18"/>
              </w:rPr>
              <w:t>PRIHODI POSLOVANJA (šifre 61+62+63+64+65+66+67+68)</w:t>
            </w:r>
          </w:p>
        </w:tc>
        <w:tc>
          <w:tcPr>
            <w:tcMar>
              <w:top w:w="0" w:type="dxa"/>
              <w:bottom w:w="0" w:type="dxa"/>
            </w:tcMar>
            <w:vAlign w:val="center"/>
          </w:tcPr>
          <w:p w14:paraId="1E341655">
            <w:pPr>
              <w:keepNext/>
              <w:keepLines/>
              <w:spacing w:before="0" w:after="0" w:line="240" w:lineRule="auto"/>
              <w:jc w:val="left"/>
            </w:pPr>
            <w:r>
              <w:rPr>
                <w:rFonts w:ascii="Times New Roman" w:hAnsi="Times New Roman"/>
                <w:sz w:val="18"/>
              </w:rPr>
              <w:t>6</w:t>
            </w:r>
          </w:p>
        </w:tc>
        <w:tc>
          <w:tcPr>
            <w:tcMar>
              <w:top w:w="0" w:type="dxa"/>
              <w:bottom w:w="0" w:type="dxa"/>
            </w:tcMar>
            <w:vAlign w:val="center"/>
          </w:tcPr>
          <w:p w14:paraId="4C51F237">
            <w:pPr>
              <w:keepNext/>
              <w:keepLines/>
              <w:spacing w:before="0" w:after="0" w:line="240" w:lineRule="auto"/>
              <w:jc w:val="right"/>
            </w:pPr>
            <w:r>
              <w:rPr>
                <w:rFonts w:ascii="Times New Roman" w:hAnsi="Times New Roman"/>
                <w:sz w:val="18"/>
              </w:rPr>
              <w:t>653.857,53</w:t>
            </w:r>
          </w:p>
        </w:tc>
        <w:tc>
          <w:tcPr>
            <w:tcMar>
              <w:top w:w="0" w:type="dxa"/>
              <w:bottom w:w="0" w:type="dxa"/>
            </w:tcMar>
            <w:vAlign w:val="center"/>
          </w:tcPr>
          <w:p w14:paraId="5FEA2F19">
            <w:pPr>
              <w:keepNext/>
              <w:keepLines/>
              <w:spacing w:before="0" w:after="0" w:line="240" w:lineRule="auto"/>
              <w:jc w:val="right"/>
            </w:pPr>
            <w:r>
              <w:rPr>
                <w:rFonts w:ascii="Times New Roman" w:hAnsi="Times New Roman"/>
                <w:sz w:val="18"/>
              </w:rPr>
              <w:t>662.773,92</w:t>
            </w:r>
          </w:p>
        </w:tc>
        <w:tc>
          <w:tcPr>
            <w:tcMar>
              <w:top w:w="0" w:type="dxa"/>
              <w:bottom w:w="0" w:type="dxa"/>
            </w:tcMar>
            <w:vAlign w:val="center"/>
          </w:tcPr>
          <w:p w14:paraId="18909496">
            <w:pPr>
              <w:keepNext/>
              <w:keepLines/>
              <w:spacing w:before="0" w:after="0" w:line="240" w:lineRule="auto"/>
              <w:jc w:val="right"/>
            </w:pPr>
            <w:r>
              <w:rPr>
                <w:rFonts w:ascii="Times New Roman" w:hAnsi="Times New Roman"/>
                <w:sz w:val="18"/>
              </w:rPr>
              <w:t>101,4</w:t>
            </w:r>
          </w:p>
        </w:tc>
      </w:tr>
      <w:tr w14:paraId="782F7DD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8905C16">
            <w:pPr>
              <w:keepNext/>
              <w:keepLines/>
              <w:spacing w:before="0" w:after="0" w:line="240" w:lineRule="auto"/>
              <w:jc w:val="left"/>
            </w:pPr>
            <w:r>
              <w:rPr>
                <w:rFonts w:ascii="Times New Roman" w:hAnsi="Times New Roman"/>
                <w:sz w:val="18"/>
              </w:rPr>
              <w:t>3</w:t>
            </w:r>
          </w:p>
        </w:tc>
        <w:tc>
          <w:tcPr>
            <w:tcMar>
              <w:top w:w="0" w:type="dxa"/>
              <w:bottom w:w="0" w:type="dxa"/>
            </w:tcMar>
            <w:vAlign w:val="center"/>
          </w:tcPr>
          <w:p w14:paraId="75FDF3B2">
            <w:pPr>
              <w:keepNext/>
              <w:keepLines/>
              <w:spacing w:before="0" w:after="0" w:line="240" w:lineRule="auto"/>
              <w:jc w:val="left"/>
            </w:pPr>
            <w:r>
              <w:rPr>
                <w:rFonts w:ascii="Times New Roman" w:hAnsi="Times New Roman"/>
                <w:sz w:val="18"/>
              </w:rPr>
              <w:t>RASHODI POSLOVANJA (šifre 31+32+34+35+36+37+38)</w:t>
            </w:r>
          </w:p>
        </w:tc>
        <w:tc>
          <w:tcPr>
            <w:tcMar>
              <w:top w:w="0" w:type="dxa"/>
              <w:bottom w:w="0" w:type="dxa"/>
            </w:tcMar>
            <w:vAlign w:val="center"/>
          </w:tcPr>
          <w:p w14:paraId="217F1ED2">
            <w:pPr>
              <w:keepNext/>
              <w:keepLines/>
              <w:spacing w:before="0" w:after="0" w:line="240" w:lineRule="auto"/>
              <w:jc w:val="left"/>
            </w:pPr>
            <w:r>
              <w:rPr>
                <w:rFonts w:ascii="Times New Roman" w:hAnsi="Times New Roman"/>
                <w:sz w:val="18"/>
              </w:rPr>
              <w:t>3</w:t>
            </w:r>
          </w:p>
        </w:tc>
        <w:tc>
          <w:tcPr>
            <w:tcMar>
              <w:top w:w="0" w:type="dxa"/>
              <w:bottom w:w="0" w:type="dxa"/>
            </w:tcMar>
            <w:vAlign w:val="center"/>
          </w:tcPr>
          <w:p w14:paraId="1DCFD99B">
            <w:pPr>
              <w:keepNext/>
              <w:keepLines/>
              <w:spacing w:before="0" w:after="0" w:line="240" w:lineRule="auto"/>
              <w:jc w:val="right"/>
            </w:pPr>
            <w:r>
              <w:rPr>
                <w:rFonts w:ascii="Times New Roman" w:hAnsi="Times New Roman"/>
                <w:sz w:val="18"/>
              </w:rPr>
              <w:t>608.570,78</w:t>
            </w:r>
          </w:p>
        </w:tc>
        <w:tc>
          <w:tcPr>
            <w:tcMar>
              <w:top w:w="0" w:type="dxa"/>
              <w:bottom w:w="0" w:type="dxa"/>
            </w:tcMar>
            <w:vAlign w:val="center"/>
          </w:tcPr>
          <w:p w14:paraId="55D58921">
            <w:pPr>
              <w:keepNext/>
              <w:keepLines/>
              <w:spacing w:before="0" w:after="0" w:line="240" w:lineRule="auto"/>
              <w:jc w:val="right"/>
            </w:pPr>
            <w:r>
              <w:rPr>
                <w:rFonts w:ascii="Times New Roman" w:hAnsi="Times New Roman"/>
                <w:sz w:val="18"/>
              </w:rPr>
              <w:t>718.479,34</w:t>
            </w:r>
          </w:p>
        </w:tc>
        <w:tc>
          <w:tcPr>
            <w:tcMar>
              <w:top w:w="0" w:type="dxa"/>
              <w:bottom w:w="0" w:type="dxa"/>
            </w:tcMar>
            <w:vAlign w:val="center"/>
          </w:tcPr>
          <w:p w14:paraId="633F1788">
            <w:pPr>
              <w:keepNext/>
              <w:keepLines/>
              <w:spacing w:before="0" w:after="0" w:line="240" w:lineRule="auto"/>
              <w:jc w:val="right"/>
            </w:pPr>
            <w:r>
              <w:rPr>
                <w:rFonts w:ascii="Times New Roman" w:hAnsi="Times New Roman"/>
                <w:sz w:val="18"/>
              </w:rPr>
              <w:t>118,1</w:t>
            </w:r>
          </w:p>
        </w:tc>
      </w:tr>
      <w:tr w14:paraId="6017B13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5A27D60">
            <w:pPr>
              <w:keepNext/>
              <w:keepLines/>
              <w:spacing w:before="0" w:after="0" w:line="240" w:lineRule="auto"/>
              <w:jc w:val="left"/>
            </w:pPr>
          </w:p>
        </w:tc>
        <w:tc>
          <w:tcPr>
            <w:tcMar>
              <w:top w:w="0" w:type="dxa"/>
              <w:bottom w:w="0" w:type="dxa"/>
            </w:tcMar>
            <w:vAlign w:val="center"/>
          </w:tcPr>
          <w:p w14:paraId="1CE04A2A">
            <w:pPr>
              <w:keepNext/>
              <w:keepLines/>
              <w:spacing w:before="0" w:after="0" w:line="240" w:lineRule="auto"/>
              <w:jc w:val="left"/>
            </w:pPr>
            <w:r>
              <w:rPr>
                <w:rFonts w:ascii="Times New Roman" w:hAnsi="Times New Roman"/>
                <w:b/>
                <w:sz w:val="18"/>
              </w:rPr>
              <w:t>MANJAK PRIHODA POSLOVANJA (šifre Z005-6)</w:t>
            </w:r>
          </w:p>
        </w:tc>
        <w:tc>
          <w:tcPr>
            <w:tcMar>
              <w:top w:w="0" w:type="dxa"/>
              <w:bottom w:w="0" w:type="dxa"/>
            </w:tcMar>
            <w:vAlign w:val="center"/>
          </w:tcPr>
          <w:p w14:paraId="51B40BA2">
            <w:pPr>
              <w:keepNext/>
              <w:keepLines/>
              <w:spacing w:before="0" w:after="0" w:line="240" w:lineRule="auto"/>
              <w:jc w:val="left"/>
            </w:pPr>
            <w:r>
              <w:rPr>
                <w:rFonts w:ascii="Times New Roman" w:hAnsi="Times New Roman"/>
                <w:b/>
                <w:sz w:val="18"/>
              </w:rPr>
              <w:t>Y001</w:t>
            </w:r>
          </w:p>
        </w:tc>
        <w:tc>
          <w:tcPr>
            <w:tcMar>
              <w:top w:w="0" w:type="dxa"/>
              <w:bottom w:w="0" w:type="dxa"/>
            </w:tcMar>
            <w:vAlign w:val="center"/>
          </w:tcPr>
          <w:p w14:paraId="5FB3FE99">
            <w:pPr>
              <w:keepNext/>
              <w:keepLines/>
              <w:spacing w:before="0" w:after="0" w:line="240" w:lineRule="auto"/>
              <w:jc w:val="right"/>
            </w:pPr>
            <w:r>
              <w:rPr>
                <w:rFonts w:ascii="Times New Roman" w:hAnsi="Times New Roman"/>
                <w:b/>
                <w:sz w:val="18"/>
              </w:rPr>
              <w:t>0,00</w:t>
            </w:r>
          </w:p>
        </w:tc>
        <w:tc>
          <w:tcPr>
            <w:tcMar>
              <w:top w:w="0" w:type="dxa"/>
              <w:bottom w:w="0" w:type="dxa"/>
            </w:tcMar>
            <w:vAlign w:val="center"/>
          </w:tcPr>
          <w:p w14:paraId="6DF83EB9">
            <w:pPr>
              <w:keepNext/>
              <w:keepLines/>
              <w:spacing w:before="0" w:after="0" w:line="240" w:lineRule="auto"/>
              <w:jc w:val="right"/>
            </w:pPr>
            <w:r>
              <w:rPr>
                <w:rFonts w:ascii="Times New Roman" w:hAnsi="Times New Roman"/>
                <w:b/>
                <w:sz w:val="18"/>
              </w:rPr>
              <w:t>55.705,42</w:t>
            </w:r>
          </w:p>
        </w:tc>
        <w:tc>
          <w:tcPr>
            <w:tcMar>
              <w:top w:w="0" w:type="dxa"/>
              <w:bottom w:w="0" w:type="dxa"/>
            </w:tcMar>
            <w:vAlign w:val="center"/>
          </w:tcPr>
          <w:p w14:paraId="4B352379">
            <w:pPr>
              <w:keepNext/>
              <w:keepLines/>
              <w:spacing w:before="0" w:after="0" w:line="240" w:lineRule="auto"/>
              <w:jc w:val="right"/>
            </w:pPr>
            <w:r>
              <w:rPr>
                <w:rFonts w:ascii="Times New Roman" w:hAnsi="Times New Roman"/>
                <w:b/>
                <w:sz w:val="18"/>
              </w:rPr>
              <w:t>-</w:t>
            </w:r>
          </w:p>
        </w:tc>
      </w:tr>
      <w:tr w14:paraId="6477FCC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6C2E744">
            <w:pPr>
              <w:keepNext/>
              <w:keepLines/>
              <w:spacing w:before="0" w:after="0" w:line="240" w:lineRule="auto"/>
              <w:jc w:val="left"/>
            </w:pPr>
            <w:r>
              <w:rPr>
                <w:rFonts w:ascii="Times New Roman" w:hAnsi="Times New Roman"/>
                <w:sz w:val="18"/>
              </w:rPr>
              <w:t>7</w:t>
            </w:r>
          </w:p>
        </w:tc>
        <w:tc>
          <w:tcPr>
            <w:tcMar>
              <w:top w:w="0" w:type="dxa"/>
              <w:bottom w:w="0" w:type="dxa"/>
            </w:tcMar>
            <w:vAlign w:val="center"/>
          </w:tcPr>
          <w:p w14:paraId="5678CDD0">
            <w:pPr>
              <w:keepNext/>
              <w:keepLines/>
              <w:spacing w:before="0" w:after="0" w:line="240" w:lineRule="auto"/>
              <w:jc w:val="left"/>
            </w:pPr>
            <w:r>
              <w:rPr>
                <w:rFonts w:ascii="Times New Roman" w:hAnsi="Times New Roman"/>
                <w:sz w:val="18"/>
              </w:rPr>
              <w:t>Prihodi od prodaje nefinancijske imovine (šifre 71+72+73+74)</w:t>
            </w:r>
          </w:p>
        </w:tc>
        <w:tc>
          <w:tcPr>
            <w:tcMar>
              <w:top w:w="0" w:type="dxa"/>
              <w:bottom w:w="0" w:type="dxa"/>
            </w:tcMar>
            <w:vAlign w:val="center"/>
          </w:tcPr>
          <w:p w14:paraId="384EDA08">
            <w:pPr>
              <w:keepNext/>
              <w:keepLines/>
              <w:spacing w:before="0" w:after="0" w:line="240" w:lineRule="auto"/>
              <w:jc w:val="left"/>
            </w:pPr>
            <w:r>
              <w:rPr>
                <w:rFonts w:ascii="Times New Roman" w:hAnsi="Times New Roman"/>
                <w:sz w:val="18"/>
              </w:rPr>
              <w:t>7</w:t>
            </w:r>
          </w:p>
        </w:tc>
        <w:tc>
          <w:tcPr>
            <w:tcMar>
              <w:top w:w="0" w:type="dxa"/>
              <w:bottom w:w="0" w:type="dxa"/>
            </w:tcMar>
            <w:vAlign w:val="center"/>
          </w:tcPr>
          <w:p w14:paraId="1AA8648B">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481D33B0">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39B11241">
            <w:pPr>
              <w:keepNext/>
              <w:keepLines/>
              <w:spacing w:before="0" w:after="0" w:line="240" w:lineRule="auto"/>
              <w:jc w:val="right"/>
            </w:pPr>
            <w:r>
              <w:rPr>
                <w:rFonts w:ascii="Times New Roman" w:hAnsi="Times New Roman"/>
                <w:sz w:val="18"/>
              </w:rPr>
              <w:t>-</w:t>
            </w:r>
          </w:p>
        </w:tc>
      </w:tr>
      <w:tr w14:paraId="02B8FFEF">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EE6A37C">
            <w:pPr>
              <w:keepNext/>
              <w:keepLines/>
              <w:spacing w:before="0" w:after="0" w:line="240" w:lineRule="auto"/>
              <w:jc w:val="left"/>
            </w:pPr>
            <w:r>
              <w:rPr>
                <w:rFonts w:ascii="Times New Roman" w:hAnsi="Times New Roman"/>
                <w:sz w:val="18"/>
              </w:rPr>
              <w:t>4</w:t>
            </w:r>
          </w:p>
        </w:tc>
        <w:tc>
          <w:tcPr>
            <w:tcMar>
              <w:top w:w="0" w:type="dxa"/>
              <w:bottom w:w="0" w:type="dxa"/>
            </w:tcMar>
            <w:vAlign w:val="center"/>
          </w:tcPr>
          <w:p w14:paraId="0300EACE">
            <w:pPr>
              <w:keepNext/>
              <w:keepLines/>
              <w:spacing w:before="0" w:after="0" w:line="240" w:lineRule="auto"/>
              <w:jc w:val="left"/>
            </w:pPr>
            <w:r>
              <w:rPr>
                <w:rFonts w:ascii="Times New Roman" w:hAnsi="Times New Roman"/>
                <w:sz w:val="18"/>
              </w:rPr>
              <w:t>Rashodi za nabavu nefinancijske imovine (šifre 41+42+43+44+45)</w:t>
            </w:r>
          </w:p>
        </w:tc>
        <w:tc>
          <w:tcPr>
            <w:tcMar>
              <w:top w:w="0" w:type="dxa"/>
              <w:bottom w:w="0" w:type="dxa"/>
            </w:tcMar>
            <w:vAlign w:val="center"/>
          </w:tcPr>
          <w:p w14:paraId="3092CAB5">
            <w:pPr>
              <w:keepNext/>
              <w:keepLines/>
              <w:spacing w:before="0" w:after="0" w:line="240" w:lineRule="auto"/>
              <w:jc w:val="left"/>
            </w:pPr>
            <w:r>
              <w:rPr>
                <w:rFonts w:ascii="Times New Roman" w:hAnsi="Times New Roman"/>
                <w:sz w:val="18"/>
              </w:rPr>
              <w:t>4</w:t>
            </w:r>
          </w:p>
        </w:tc>
        <w:tc>
          <w:tcPr>
            <w:tcMar>
              <w:top w:w="0" w:type="dxa"/>
              <w:bottom w:w="0" w:type="dxa"/>
            </w:tcMar>
            <w:vAlign w:val="center"/>
          </w:tcPr>
          <w:p w14:paraId="15E74DEC">
            <w:pPr>
              <w:keepNext/>
              <w:keepLines/>
              <w:spacing w:before="0" w:after="0" w:line="240" w:lineRule="auto"/>
              <w:jc w:val="right"/>
            </w:pPr>
            <w:r>
              <w:rPr>
                <w:rFonts w:ascii="Times New Roman" w:hAnsi="Times New Roman"/>
                <w:sz w:val="18"/>
              </w:rPr>
              <w:t>44.181,84</w:t>
            </w:r>
          </w:p>
        </w:tc>
        <w:tc>
          <w:tcPr>
            <w:tcMar>
              <w:top w:w="0" w:type="dxa"/>
              <w:bottom w:w="0" w:type="dxa"/>
            </w:tcMar>
            <w:vAlign w:val="center"/>
          </w:tcPr>
          <w:p w14:paraId="61CDC265">
            <w:pPr>
              <w:keepNext/>
              <w:keepLines/>
              <w:spacing w:before="0" w:after="0" w:line="240" w:lineRule="auto"/>
              <w:jc w:val="right"/>
            </w:pPr>
            <w:r>
              <w:rPr>
                <w:rFonts w:ascii="Times New Roman" w:hAnsi="Times New Roman"/>
                <w:sz w:val="18"/>
              </w:rPr>
              <w:t>2.441,17</w:t>
            </w:r>
          </w:p>
        </w:tc>
        <w:tc>
          <w:tcPr>
            <w:tcMar>
              <w:top w:w="0" w:type="dxa"/>
              <w:bottom w:w="0" w:type="dxa"/>
            </w:tcMar>
            <w:vAlign w:val="center"/>
          </w:tcPr>
          <w:p w14:paraId="18125E08">
            <w:pPr>
              <w:keepNext/>
              <w:keepLines/>
              <w:spacing w:before="0" w:after="0" w:line="240" w:lineRule="auto"/>
              <w:jc w:val="right"/>
            </w:pPr>
            <w:r>
              <w:rPr>
                <w:rFonts w:ascii="Times New Roman" w:hAnsi="Times New Roman"/>
                <w:sz w:val="18"/>
              </w:rPr>
              <w:t>5,5</w:t>
            </w:r>
          </w:p>
        </w:tc>
      </w:tr>
      <w:tr w14:paraId="27838710">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3C3A240">
            <w:pPr>
              <w:keepNext/>
              <w:keepLines/>
              <w:spacing w:before="0" w:after="0" w:line="240" w:lineRule="auto"/>
              <w:jc w:val="left"/>
            </w:pPr>
          </w:p>
        </w:tc>
        <w:tc>
          <w:tcPr>
            <w:tcMar>
              <w:top w:w="0" w:type="dxa"/>
              <w:bottom w:w="0" w:type="dxa"/>
            </w:tcMar>
            <w:vAlign w:val="center"/>
          </w:tcPr>
          <w:p w14:paraId="639B6D21">
            <w:pPr>
              <w:keepNext/>
              <w:keepLines/>
              <w:spacing w:before="0" w:after="0" w:line="240" w:lineRule="auto"/>
              <w:jc w:val="left"/>
            </w:pPr>
            <w:r>
              <w:rPr>
                <w:rFonts w:ascii="Times New Roman" w:hAnsi="Times New Roman"/>
                <w:b/>
                <w:sz w:val="18"/>
              </w:rPr>
              <w:t>MANJAK PRIHODA OD NEFINANCIJSKE IMOVINE (šifre 4-7)</w:t>
            </w:r>
          </w:p>
        </w:tc>
        <w:tc>
          <w:tcPr>
            <w:tcMar>
              <w:top w:w="0" w:type="dxa"/>
              <w:bottom w:w="0" w:type="dxa"/>
            </w:tcMar>
            <w:vAlign w:val="center"/>
          </w:tcPr>
          <w:p w14:paraId="630D0082">
            <w:pPr>
              <w:keepNext/>
              <w:keepLines/>
              <w:spacing w:before="0" w:after="0" w:line="240" w:lineRule="auto"/>
              <w:jc w:val="left"/>
            </w:pPr>
            <w:r>
              <w:rPr>
                <w:rFonts w:ascii="Times New Roman" w:hAnsi="Times New Roman"/>
                <w:b/>
                <w:sz w:val="18"/>
              </w:rPr>
              <w:t>Y002</w:t>
            </w:r>
          </w:p>
        </w:tc>
        <w:tc>
          <w:tcPr>
            <w:tcMar>
              <w:top w:w="0" w:type="dxa"/>
              <w:bottom w:w="0" w:type="dxa"/>
            </w:tcMar>
            <w:vAlign w:val="center"/>
          </w:tcPr>
          <w:p w14:paraId="5AE041C1">
            <w:pPr>
              <w:keepNext/>
              <w:keepLines/>
              <w:spacing w:before="0" w:after="0" w:line="240" w:lineRule="auto"/>
              <w:jc w:val="right"/>
            </w:pPr>
            <w:r>
              <w:rPr>
                <w:rFonts w:ascii="Times New Roman" w:hAnsi="Times New Roman"/>
                <w:b/>
                <w:sz w:val="18"/>
              </w:rPr>
              <w:t>44.181,84</w:t>
            </w:r>
          </w:p>
        </w:tc>
        <w:tc>
          <w:tcPr>
            <w:tcMar>
              <w:top w:w="0" w:type="dxa"/>
              <w:bottom w:w="0" w:type="dxa"/>
            </w:tcMar>
            <w:vAlign w:val="center"/>
          </w:tcPr>
          <w:p w14:paraId="17DB9BAA">
            <w:pPr>
              <w:keepNext/>
              <w:keepLines/>
              <w:spacing w:before="0" w:after="0" w:line="240" w:lineRule="auto"/>
              <w:jc w:val="right"/>
            </w:pPr>
            <w:r>
              <w:rPr>
                <w:rFonts w:ascii="Times New Roman" w:hAnsi="Times New Roman"/>
                <w:b/>
                <w:sz w:val="18"/>
              </w:rPr>
              <w:t>2.441,17</w:t>
            </w:r>
          </w:p>
        </w:tc>
        <w:tc>
          <w:tcPr>
            <w:tcMar>
              <w:top w:w="0" w:type="dxa"/>
              <w:bottom w:w="0" w:type="dxa"/>
            </w:tcMar>
            <w:vAlign w:val="center"/>
          </w:tcPr>
          <w:p w14:paraId="3CCE26F9">
            <w:pPr>
              <w:keepNext/>
              <w:keepLines/>
              <w:spacing w:before="0" w:after="0" w:line="240" w:lineRule="auto"/>
              <w:jc w:val="right"/>
            </w:pPr>
            <w:r>
              <w:rPr>
                <w:rFonts w:ascii="Times New Roman" w:hAnsi="Times New Roman"/>
                <w:b/>
                <w:sz w:val="18"/>
              </w:rPr>
              <w:t>5,5</w:t>
            </w:r>
          </w:p>
        </w:tc>
      </w:tr>
      <w:tr w14:paraId="742032AB">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E3114CF">
            <w:pPr>
              <w:keepNext/>
              <w:keepLines/>
              <w:spacing w:before="0" w:after="0" w:line="240" w:lineRule="auto"/>
              <w:jc w:val="left"/>
            </w:pPr>
            <w:r>
              <w:rPr>
                <w:rFonts w:ascii="Times New Roman" w:hAnsi="Times New Roman"/>
                <w:sz w:val="18"/>
              </w:rPr>
              <w:t>8</w:t>
            </w:r>
          </w:p>
        </w:tc>
        <w:tc>
          <w:tcPr>
            <w:tcMar>
              <w:top w:w="0" w:type="dxa"/>
              <w:bottom w:w="0" w:type="dxa"/>
            </w:tcMar>
            <w:vAlign w:val="center"/>
          </w:tcPr>
          <w:p w14:paraId="2F14210E">
            <w:pPr>
              <w:keepNext/>
              <w:keepLines/>
              <w:spacing w:before="0" w:after="0" w:line="240" w:lineRule="auto"/>
              <w:jc w:val="left"/>
            </w:pPr>
            <w:r>
              <w:rPr>
                <w:rFonts w:ascii="Times New Roman" w:hAnsi="Times New Roman"/>
                <w:sz w:val="18"/>
              </w:rPr>
              <w:t>Primici od financijske imovine i zaduživanja (šifre 81+82+83+84+85)</w:t>
            </w:r>
          </w:p>
        </w:tc>
        <w:tc>
          <w:tcPr>
            <w:tcMar>
              <w:top w:w="0" w:type="dxa"/>
              <w:bottom w:w="0" w:type="dxa"/>
            </w:tcMar>
            <w:vAlign w:val="center"/>
          </w:tcPr>
          <w:p w14:paraId="207C3D50">
            <w:pPr>
              <w:keepNext/>
              <w:keepLines/>
              <w:spacing w:before="0" w:after="0" w:line="240" w:lineRule="auto"/>
              <w:jc w:val="left"/>
            </w:pPr>
            <w:r>
              <w:rPr>
                <w:rFonts w:ascii="Times New Roman" w:hAnsi="Times New Roman"/>
                <w:sz w:val="18"/>
              </w:rPr>
              <w:t>8</w:t>
            </w:r>
          </w:p>
        </w:tc>
        <w:tc>
          <w:tcPr>
            <w:tcMar>
              <w:top w:w="0" w:type="dxa"/>
              <w:bottom w:w="0" w:type="dxa"/>
            </w:tcMar>
            <w:vAlign w:val="center"/>
          </w:tcPr>
          <w:p w14:paraId="29EA3FAE">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5C6EEA9B">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6EF49605">
            <w:pPr>
              <w:keepNext/>
              <w:keepLines/>
              <w:spacing w:before="0" w:after="0" w:line="240" w:lineRule="auto"/>
              <w:jc w:val="right"/>
            </w:pPr>
            <w:r>
              <w:rPr>
                <w:rFonts w:ascii="Times New Roman" w:hAnsi="Times New Roman"/>
                <w:sz w:val="18"/>
              </w:rPr>
              <w:t>-</w:t>
            </w:r>
          </w:p>
        </w:tc>
      </w:tr>
      <w:tr w14:paraId="62340C70">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BA2CB56">
            <w:pPr>
              <w:keepNext/>
              <w:keepLines/>
              <w:spacing w:before="0" w:after="0" w:line="240" w:lineRule="auto"/>
              <w:jc w:val="left"/>
            </w:pPr>
            <w:r>
              <w:rPr>
                <w:rFonts w:ascii="Times New Roman" w:hAnsi="Times New Roman"/>
                <w:sz w:val="18"/>
              </w:rPr>
              <w:t>5</w:t>
            </w:r>
          </w:p>
        </w:tc>
        <w:tc>
          <w:tcPr>
            <w:tcMar>
              <w:top w:w="0" w:type="dxa"/>
              <w:bottom w:w="0" w:type="dxa"/>
            </w:tcMar>
            <w:vAlign w:val="center"/>
          </w:tcPr>
          <w:p w14:paraId="5766DDE3">
            <w:pPr>
              <w:keepNext/>
              <w:keepLines/>
              <w:spacing w:before="0" w:after="0" w:line="240" w:lineRule="auto"/>
              <w:jc w:val="left"/>
            </w:pPr>
            <w:r>
              <w:rPr>
                <w:rFonts w:ascii="Times New Roman" w:hAnsi="Times New Roman"/>
                <w:sz w:val="18"/>
              </w:rPr>
              <w:t>Izdaci za financijsku imovinu i otplate zajmova (šifre 51+52+53+54+55)</w:t>
            </w:r>
          </w:p>
        </w:tc>
        <w:tc>
          <w:tcPr>
            <w:tcMar>
              <w:top w:w="0" w:type="dxa"/>
              <w:bottom w:w="0" w:type="dxa"/>
            </w:tcMar>
            <w:vAlign w:val="center"/>
          </w:tcPr>
          <w:p w14:paraId="654E499E">
            <w:pPr>
              <w:keepNext/>
              <w:keepLines/>
              <w:spacing w:before="0" w:after="0" w:line="240" w:lineRule="auto"/>
              <w:jc w:val="left"/>
            </w:pPr>
            <w:r>
              <w:rPr>
                <w:rFonts w:ascii="Times New Roman" w:hAnsi="Times New Roman"/>
                <w:sz w:val="18"/>
              </w:rPr>
              <w:t>5</w:t>
            </w:r>
          </w:p>
        </w:tc>
        <w:tc>
          <w:tcPr>
            <w:tcMar>
              <w:top w:w="0" w:type="dxa"/>
              <w:bottom w:w="0" w:type="dxa"/>
            </w:tcMar>
            <w:vAlign w:val="center"/>
          </w:tcPr>
          <w:p w14:paraId="55D2D024">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090DC560">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1D56CA93">
            <w:pPr>
              <w:keepNext/>
              <w:keepLines/>
              <w:spacing w:before="0" w:after="0" w:line="240" w:lineRule="auto"/>
              <w:jc w:val="right"/>
            </w:pPr>
            <w:r>
              <w:rPr>
                <w:rFonts w:ascii="Times New Roman" w:hAnsi="Times New Roman"/>
                <w:sz w:val="18"/>
              </w:rPr>
              <w:t>-</w:t>
            </w:r>
          </w:p>
        </w:tc>
      </w:tr>
      <w:tr w14:paraId="3608446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0E21575">
            <w:pPr>
              <w:keepNext/>
              <w:keepLines/>
              <w:spacing w:before="0" w:after="0" w:line="240" w:lineRule="auto"/>
              <w:jc w:val="left"/>
            </w:pPr>
          </w:p>
        </w:tc>
        <w:tc>
          <w:tcPr>
            <w:tcMar>
              <w:top w:w="0" w:type="dxa"/>
              <w:bottom w:w="0" w:type="dxa"/>
            </w:tcMar>
            <w:vAlign w:val="center"/>
          </w:tcPr>
          <w:p w14:paraId="328667E0">
            <w:pPr>
              <w:keepNext/>
              <w:keepLines/>
              <w:spacing w:before="0" w:after="0" w:line="240" w:lineRule="auto"/>
              <w:jc w:val="left"/>
            </w:pPr>
            <w:r>
              <w:rPr>
                <w:rFonts w:ascii="Times New Roman" w:hAnsi="Times New Roman"/>
                <w:b/>
                <w:sz w:val="18"/>
              </w:rPr>
              <w:t>VIŠAK/MANJAK PRIMITAKA OD FINANCIJSKE IMOVINE I ZADUŽIVANJA (šifre 8-5, 5-8)</w:t>
            </w:r>
          </w:p>
        </w:tc>
        <w:tc>
          <w:tcPr>
            <w:tcMar>
              <w:top w:w="0" w:type="dxa"/>
              <w:bottom w:w="0" w:type="dxa"/>
            </w:tcMar>
            <w:vAlign w:val="center"/>
          </w:tcPr>
          <w:p w14:paraId="10B5C1E9">
            <w:pPr>
              <w:keepNext/>
              <w:keepLines/>
              <w:spacing w:before="0" w:after="0" w:line="240" w:lineRule="auto"/>
              <w:jc w:val="left"/>
            </w:pPr>
            <w:r>
              <w:rPr>
                <w:rFonts w:ascii="Times New Roman" w:hAnsi="Times New Roman"/>
                <w:b/>
                <w:sz w:val="18"/>
              </w:rPr>
              <w:t>X003, Y003</w:t>
            </w:r>
          </w:p>
        </w:tc>
        <w:tc>
          <w:tcPr>
            <w:tcMar>
              <w:top w:w="0" w:type="dxa"/>
              <w:bottom w:w="0" w:type="dxa"/>
            </w:tcMar>
            <w:vAlign w:val="center"/>
          </w:tcPr>
          <w:p w14:paraId="42573D50">
            <w:pPr>
              <w:keepNext/>
              <w:keepLines/>
              <w:spacing w:before="0" w:after="0" w:line="240" w:lineRule="auto"/>
              <w:jc w:val="right"/>
            </w:pPr>
            <w:r>
              <w:rPr>
                <w:rFonts w:ascii="Times New Roman" w:hAnsi="Times New Roman"/>
                <w:b/>
                <w:sz w:val="18"/>
              </w:rPr>
              <w:t>0,00</w:t>
            </w:r>
          </w:p>
        </w:tc>
        <w:tc>
          <w:tcPr>
            <w:tcMar>
              <w:top w:w="0" w:type="dxa"/>
              <w:bottom w:w="0" w:type="dxa"/>
            </w:tcMar>
            <w:vAlign w:val="center"/>
          </w:tcPr>
          <w:p w14:paraId="7A906406">
            <w:pPr>
              <w:keepNext/>
              <w:keepLines/>
              <w:spacing w:before="0" w:after="0" w:line="240" w:lineRule="auto"/>
              <w:jc w:val="right"/>
            </w:pPr>
            <w:r>
              <w:rPr>
                <w:rFonts w:ascii="Times New Roman" w:hAnsi="Times New Roman"/>
                <w:b/>
                <w:sz w:val="18"/>
              </w:rPr>
              <w:t>0,00</w:t>
            </w:r>
          </w:p>
        </w:tc>
        <w:tc>
          <w:tcPr>
            <w:tcMar>
              <w:top w:w="0" w:type="dxa"/>
              <w:bottom w:w="0" w:type="dxa"/>
            </w:tcMar>
            <w:vAlign w:val="center"/>
          </w:tcPr>
          <w:p w14:paraId="06444F59">
            <w:pPr>
              <w:keepNext/>
              <w:keepLines/>
              <w:spacing w:before="0" w:after="0" w:line="240" w:lineRule="auto"/>
              <w:jc w:val="right"/>
            </w:pPr>
            <w:r>
              <w:rPr>
                <w:rFonts w:ascii="Times New Roman" w:hAnsi="Times New Roman"/>
                <w:b/>
                <w:sz w:val="18"/>
              </w:rPr>
              <w:t>-</w:t>
            </w:r>
          </w:p>
        </w:tc>
      </w:tr>
      <w:tr w14:paraId="79037C2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8A2E281">
            <w:pPr>
              <w:keepNext/>
              <w:keepLines/>
              <w:spacing w:before="0" w:after="0" w:line="240" w:lineRule="auto"/>
              <w:jc w:val="left"/>
            </w:pPr>
          </w:p>
        </w:tc>
        <w:tc>
          <w:tcPr>
            <w:tcMar>
              <w:top w:w="0" w:type="dxa"/>
              <w:bottom w:w="0" w:type="dxa"/>
            </w:tcMar>
            <w:vAlign w:val="center"/>
          </w:tcPr>
          <w:p w14:paraId="65DAA239">
            <w:pPr>
              <w:keepNext/>
              <w:keepLines/>
              <w:spacing w:before="0" w:after="0" w:line="240" w:lineRule="auto"/>
              <w:jc w:val="left"/>
            </w:pPr>
            <w:r>
              <w:rPr>
                <w:rFonts w:ascii="Times New Roman" w:hAnsi="Times New Roman"/>
                <w:b/>
                <w:sz w:val="18"/>
              </w:rPr>
              <w:t>MANJAK PRIHODA I PRIMITAKA (šifre Y345-X678)</w:t>
            </w:r>
          </w:p>
        </w:tc>
        <w:tc>
          <w:tcPr>
            <w:tcMar>
              <w:top w:w="0" w:type="dxa"/>
              <w:bottom w:w="0" w:type="dxa"/>
            </w:tcMar>
            <w:vAlign w:val="center"/>
          </w:tcPr>
          <w:p w14:paraId="149B0A52">
            <w:pPr>
              <w:keepNext/>
              <w:keepLines/>
              <w:spacing w:before="0" w:after="0" w:line="240" w:lineRule="auto"/>
              <w:jc w:val="left"/>
            </w:pPr>
            <w:r>
              <w:rPr>
                <w:rFonts w:ascii="Times New Roman" w:hAnsi="Times New Roman"/>
                <w:b/>
                <w:sz w:val="18"/>
              </w:rPr>
              <w:t>Y005</w:t>
            </w:r>
          </w:p>
        </w:tc>
        <w:tc>
          <w:tcPr>
            <w:tcMar>
              <w:top w:w="0" w:type="dxa"/>
              <w:bottom w:w="0" w:type="dxa"/>
            </w:tcMar>
            <w:vAlign w:val="center"/>
          </w:tcPr>
          <w:p w14:paraId="6C591919">
            <w:pPr>
              <w:keepNext/>
              <w:keepLines/>
              <w:spacing w:before="0" w:after="0" w:line="240" w:lineRule="auto"/>
              <w:jc w:val="right"/>
            </w:pPr>
            <w:r>
              <w:rPr>
                <w:rFonts w:ascii="Times New Roman" w:hAnsi="Times New Roman"/>
                <w:b/>
                <w:sz w:val="18"/>
              </w:rPr>
              <w:t>0,00</w:t>
            </w:r>
          </w:p>
        </w:tc>
        <w:tc>
          <w:tcPr>
            <w:tcMar>
              <w:top w:w="0" w:type="dxa"/>
              <w:bottom w:w="0" w:type="dxa"/>
            </w:tcMar>
            <w:vAlign w:val="center"/>
          </w:tcPr>
          <w:p w14:paraId="5272D876">
            <w:pPr>
              <w:keepNext/>
              <w:keepLines/>
              <w:spacing w:before="0" w:after="0" w:line="240" w:lineRule="auto"/>
              <w:jc w:val="right"/>
            </w:pPr>
            <w:r>
              <w:rPr>
                <w:rFonts w:ascii="Times New Roman" w:hAnsi="Times New Roman"/>
                <w:b/>
                <w:sz w:val="18"/>
              </w:rPr>
              <w:t>58.146,59</w:t>
            </w:r>
          </w:p>
        </w:tc>
        <w:tc>
          <w:tcPr>
            <w:tcMar>
              <w:top w:w="0" w:type="dxa"/>
              <w:bottom w:w="0" w:type="dxa"/>
            </w:tcMar>
            <w:vAlign w:val="center"/>
          </w:tcPr>
          <w:p w14:paraId="03C3F8DC">
            <w:pPr>
              <w:keepNext/>
              <w:keepLines/>
              <w:spacing w:before="0" w:after="0" w:line="240" w:lineRule="auto"/>
              <w:jc w:val="right"/>
            </w:pPr>
            <w:r>
              <w:rPr>
                <w:rFonts w:ascii="Times New Roman" w:hAnsi="Times New Roman"/>
                <w:b/>
                <w:sz w:val="18"/>
              </w:rPr>
              <w:t>-</w:t>
            </w:r>
          </w:p>
        </w:tc>
      </w:tr>
    </w:tbl>
    <w:p w14:paraId="48AC8166">
      <w:pPr>
        <w:spacing w:before="0" w:after="0"/>
      </w:pPr>
    </w:p>
    <w:p w14:paraId="59CB0AD8">
      <w:r>
        <w:t>Obveza sastavljanja Financijskog izvješća i Bilješki uz financijske izvještaje propisano je člankom 139. Zakona o proračunu (NN br.144/21.) i Pravilnikom o financijskom izvještavanju u proračunskom računovodstvu. (NN, br. 37/22).</w:t>
      </w:r>
    </w:p>
    <w:p w14:paraId="38B4C2EF">
      <w:r>
        <w:t>Škola nije u sustavu PDV-a.</w:t>
      </w:r>
    </w:p>
    <w:p w14:paraId="4253CC94">
      <w:r>
        <w:t>Osnovna škola Brod Moravice proračunski je korisnik osnivača Primorsko-goranske županije kojeg Osnivač financira sukladno zakonskom standardu ustanova osnovnog školstva. Izuzeće su djelomično programi iznad standarda koje, pored osnivača, financira jedinica lokalne samouprave – Općina Brod Moravice i roditelji. Plaće djelatnika škole financirane su sredstvima Ministarstva financija RH, dok odgojiteljicu koja radi u vrtiću pri školi financira Općina Brod Moravice. </w:t>
      </w:r>
    </w:p>
    <w:p w14:paraId="73A2154C">
      <w:r>
        <w:t>Osnovna škola Brod Moravice obavlja djelatnost osnovnoškolskog odgoja i obrazovanja. Sukladno odluci o broju razrednih odjela Ureda državne uprave Primorsko- goranske županije, nastava se izvodi u jednoj, jutarnjoj smjeni po planu i programu petodnevnog radnog tjedna.</w:t>
      </w:r>
    </w:p>
    <w:p w14:paraId="35A687D0">
      <w:r>
        <w:t>U školi je zaposleno ukupno 27 djelatnika, od čega 3 učitelja razredne nastave, 13 učitelja predmetne nastave, 2 stručna suradnika, 2 djelatnika administrativno -tehničkog osoblja, 3 djelatnika pomoćno - tehničkog osoblja, 1 djelatnica u vrtiću i 1 asistent ( pomoćnik u nastavi ) i ravnateljica. </w:t>
      </w:r>
    </w:p>
    <w:p w14:paraId="1641EF38">
      <w:r>
        <w:t>Školu OŠ Brod Moravice pohađa 35 učenika, od čega se 9 učenika školuje po prilagođenom programu, dok se 3 učenika se školuje u posebnom razrednom odjelu po posebnom programu. Škola ima 7 razrednih odjeljenja.</w:t>
      </w:r>
    </w:p>
    <w:p w14:paraId="4DC5C96A">
      <w:r>
        <w:br w:type="textWrapping"/>
      </w:r>
    </w:p>
    <w:p w14:paraId="7A40D84C">
      <w:pPr>
        <w:keepNext/>
        <w:spacing w:line="240" w:lineRule="auto"/>
        <w:jc w:val="center"/>
      </w:pPr>
      <w:r>
        <w:rPr>
          <w:rFonts w:ascii="Times New Roman" w:hAnsi="Times New Roman"/>
          <w:sz w:val="28"/>
        </w:rPr>
        <w:t>Bilješka 2.</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52C3FF6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6B23693A">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1DF8CBFF">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6C379657">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E50DC34">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75F8B6D8">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5156402">
            <w:pPr>
              <w:keepNext/>
              <w:keepLines/>
              <w:spacing w:before="0" w:after="0" w:line="240" w:lineRule="auto"/>
              <w:jc w:val="center"/>
            </w:pPr>
            <w:r>
              <w:rPr>
                <w:rFonts w:ascii="Times New Roman" w:hAnsi="Times New Roman"/>
                <w:b/>
                <w:sz w:val="18"/>
              </w:rPr>
              <w:t>Indeks (%)</w:t>
            </w:r>
          </w:p>
        </w:tc>
      </w:tr>
      <w:tr w14:paraId="66887D8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F3BA171">
            <w:pPr>
              <w:keepNext/>
              <w:keepLines/>
              <w:spacing w:before="0" w:after="0" w:line="240" w:lineRule="auto"/>
              <w:jc w:val="left"/>
            </w:pPr>
            <w:r>
              <w:rPr>
                <w:rFonts w:ascii="Times New Roman" w:hAnsi="Times New Roman"/>
                <w:sz w:val="18"/>
              </w:rPr>
              <w:t>63</w:t>
            </w:r>
          </w:p>
        </w:tc>
        <w:tc>
          <w:tcPr>
            <w:tcMar>
              <w:top w:w="0" w:type="dxa"/>
              <w:bottom w:w="0" w:type="dxa"/>
            </w:tcMar>
            <w:vAlign w:val="center"/>
          </w:tcPr>
          <w:p w14:paraId="556D1440">
            <w:pPr>
              <w:keepNext/>
              <w:keepLines/>
              <w:spacing w:before="0" w:after="0" w:line="240" w:lineRule="auto"/>
              <w:jc w:val="left"/>
            </w:pPr>
            <w:r>
              <w:rPr>
                <w:rFonts w:ascii="Times New Roman" w:hAnsi="Times New Roman"/>
                <w:sz w:val="18"/>
              </w:rPr>
              <w:t>Pomoći iz inozemstva i od subjekata unutar općeg proračuna (šifre 631+632+633+634+635+636+637+638+639)</w:t>
            </w:r>
          </w:p>
        </w:tc>
        <w:tc>
          <w:tcPr>
            <w:tcMar>
              <w:top w:w="0" w:type="dxa"/>
              <w:bottom w:w="0" w:type="dxa"/>
            </w:tcMar>
            <w:vAlign w:val="center"/>
          </w:tcPr>
          <w:p w14:paraId="73B6BA3F">
            <w:pPr>
              <w:keepNext/>
              <w:keepLines/>
              <w:spacing w:before="0" w:after="0" w:line="240" w:lineRule="auto"/>
              <w:jc w:val="left"/>
            </w:pPr>
            <w:r>
              <w:rPr>
                <w:rFonts w:ascii="Times New Roman" w:hAnsi="Times New Roman"/>
                <w:sz w:val="18"/>
              </w:rPr>
              <w:t>63</w:t>
            </w:r>
          </w:p>
        </w:tc>
        <w:tc>
          <w:tcPr>
            <w:tcMar>
              <w:top w:w="0" w:type="dxa"/>
              <w:bottom w:w="0" w:type="dxa"/>
            </w:tcMar>
            <w:vAlign w:val="center"/>
          </w:tcPr>
          <w:p w14:paraId="756F9985">
            <w:pPr>
              <w:keepNext/>
              <w:keepLines/>
              <w:spacing w:before="0" w:after="0" w:line="240" w:lineRule="auto"/>
              <w:jc w:val="right"/>
            </w:pPr>
            <w:r>
              <w:rPr>
                <w:rFonts w:ascii="Times New Roman" w:hAnsi="Times New Roman"/>
                <w:sz w:val="18"/>
              </w:rPr>
              <w:t>552.073,11</w:t>
            </w:r>
          </w:p>
        </w:tc>
        <w:tc>
          <w:tcPr>
            <w:tcMar>
              <w:top w:w="0" w:type="dxa"/>
              <w:bottom w:w="0" w:type="dxa"/>
            </w:tcMar>
            <w:vAlign w:val="center"/>
          </w:tcPr>
          <w:p w14:paraId="20823679">
            <w:pPr>
              <w:keepNext/>
              <w:keepLines/>
              <w:spacing w:before="0" w:after="0" w:line="240" w:lineRule="auto"/>
              <w:jc w:val="right"/>
            </w:pPr>
            <w:r>
              <w:rPr>
                <w:rFonts w:ascii="Times New Roman" w:hAnsi="Times New Roman"/>
                <w:sz w:val="18"/>
              </w:rPr>
              <w:t>587.473,78</w:t>
            </w:r>
          </w:p>
        </w:tc>
        <w:tc>
          <w:tcPr>
            <w:tcMar>
              <w:top w:w="0" w:type="dxa"/>
              <w:bottom w:w="0" w:type="dxa"/>
            </w:tcMar>
            <w:vAlign w:val="center"/>
          </w:tcPr>
          <w:p w14:paraId="56E83370">
            <w:pPr>
              <w:keepNext/>
              <w:keepLines/>
              <w:spacing w:before="0" w:after="0" w:line="240" w:lineRule="auto"/>
              <w:jc w:val="right"/>
            </w:pPr>
            <w:r>
              <w:rPr>
                <w:rFonts w:ascii="Times New Roman" w:hAnsi="Times New Roman"/>
                <w:sz w:val="18"/>
              </w:rPr>
              <w:t>106,4</w:t>
            </w:r>
          </w:p>
        </w:tc>
      </w:tr>
    </w:tbl>
    <w:p w14:paraId="27814AA9">
      <w:pPr>
        <w:spacing w:before="0" w:after="0"/>
      </w:pPr>
    </w:p>
    <w:p w14:paraId="59D1A12E">
      <w:r>
        <w:t>Do povećenja prihoda došlo je zbog korekcije osnovice za plaću od 1. veljače 3% i od 1.rujna 3% , a vezeno uz kolektivni ugovor.</w:t>
      </w:r>
    </w:p>
    <w:p w14:paraId="09C73838"/>
    <w:p w14:paraId="789DD612">
      <w:pPr>
        <w:keepNext/>
        <w:spacing w:line="240" w:lineRule="auto"/>
        <w:jc w:val="center"/>
      </w:pPr>
      <w:r>
        <w:rPr>
          <w:rFonts w:ascii="Times New Roman" w:hAnsi="Times New Roman"/>
          <w:sz w:val="28"/>
        </w:rPr>
        <w:t>Bilješka 3.</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58743A2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D6B6A71">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22DF4558">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19D33C80">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6E115DD6">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6316BED9">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E47F23C">
            <w:pPr>
              <w:keepNext/>
              <w:keepLines/>
              <w:spacing w:before="0" w:after="0" w:line="240" w:lineRule="auto"/>
              <w:jc w:val="center"/>
            </w:pPr>
            <w:r>
              <w:rPr>
                <w:rFonts w:ascii="Times New Roman" w:hAnsi="Times New Roman"/>
                <w:b/>
                <w:sz w:val="18"/>
              </w:rPr>
              <w:t>Indeks (%)</w:t>
            </w:r>
          </w:p>
        </w:tc>
      </w:tr>
      <w:tr w14:paraId="6F496F35">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1E3BC9A">
            <w:pPr>
              <w:keepNext/>
              <w:keepLines/>
              <w:spacing w:before="0" w:after="0" w:line="240" w:lineRule="auto"/>
              <w:jc w:val="left"/>
            </w:pPr>
            <w:r>
              <w:rPr>
                <w:rFonts w:ascii="Times New Roman" w:hAnsi="Times New Roman"/>
                <w:sz w:val="18"/>
              </w:rPr>
              <w:t>6361</w:t>
            </w:r>
          </w:p>
        </w:tc>
        <w:tc>
          <w:tcPr>
            <w:tcMar>
              <w:top w:w="0" w:type="dxa"/>
              <w:bottom w:w="0" w:type="dxa"/>
            </w:tcMar>
            <w:vAlign w:val="center"/>
          </w:tcPr>
          <w:p w14:paraId="5A1CE475">
            <w:pPr>
              <w:keepNext/>
              <w:keepLines/>
              <w:spacing w:before="0" w:after="0" w:line="240" w:lineRule="auto"/>
              <w:jc w:val="left"/>
            </w:pPr>
            <w:r>
              <w:rPr>
                <w:rFonts w:ascii="Times New Roman" w:hAnsi="Times New Roman"/>
                <w:sz w:val="18"/>
              </w:rPr>
              <w:t>Tekuće pomoći proračunskim korisnicima iz proračuna koji im nije nadležan</w:t>
            </w:r>
          </w:p>
        </w:tc>
        <w:tc>
          <w:tcPr>
            <w:tcMar>
              <w:top w:w="0" w:type="dxa"/>
              <w:bottom w:w="0" w:type="dxa"/>
            </w:tcMar>
            <w:vAlign w:val="center"/>
          </w:tcPr>
          <w:p w14:paraId="149B1F8C">
            <w:pPr>
              <w:keepNext/>
              <w:keepLines/>
              <w:spacing w:before="0" w:after="0" w:line="240" w:lineRule="auto"/>
              <w:jc w:val="left"/>
            </w:pPr>
            <w:r>
              <w:rPr>
                <w:rFonts w:ascii="Times New Roman" w:hAnsi="Times New Roman"/>
                <w:sz w:val="18"/>
              </w:rPr>
              <w:t>6361</w:t>
            </w:r>
          </w:p>
        </w:tc>
        <w:tc>
          <w:tcPr>
            <w:tcMar>
              <w:top w:w="0" w:type="dxa"/>
              <w:bottom w:w="0" w:type="dxa"/>
            </w:tcMar>
            <w:vAlign w:val="center"/>
          </w:tcPr>
          <w:p w14:paraId="6B4BDBA8">
            <w:pPr>
              <w:keepNext/>
              <w:keepLines/>
              <w:spacing w:before="0" w:after="0" w:line="240" w:lineRule="auto"/>
              <w:jc w:val="right"/>
            </w:pPr>
            <w:r>
              <w:rPr>
                <w:rFonts w:ascii="Times New Roman" w:hAnsi="Times New Roman"/>
                <w:sz w:val="18"/>
              </w:rPr>
              <w:t>548.770,00</w:t>
            </w:r>
          </w:p>
        </w:tc>
        <w:tc>
          <w:tcPr>
            <w:tcMar>
              <w:top w:w="0" w:type="dxa"/>
              <w:bottom w:w="0" w:type="dxa"/>
            </w:tcMar>
            <w:vAlign w:val="center"/>
          </w:tcPr>
          <w:p w14:paraId="37C118DF">
            <w:pPr>
              <w:keepNext/>
              <w:keepLines/>
              <w:spacing w:before="0" w:after="0" w:line="240" w:lineRule="auto"/>
              <w:jc w:val="right"/>
            </w:pPr>
            <w:r>
              <w:rPr>
                <w:rFonts w:ascii="Times New Roman" w:hAnsi="Times New Roman"/>
                <w:sz w:val="18"/>
              </w:rPr>
              <w:t>586.163,12</w:t>
            </w:r>
          </w:p>
        </w:tc>
        <w:tc>
          <w:tcPr>
            <w:tcMar>
              <w:top w:w="0" w:type="dxa"/>
              <w:bottom w:w="0" w:type="dxa"/>
            </w:tcMar>
            <w:vAlign w:val="center"/>
          </w:tcPr>
          <w:p w14:paraId="1F8A323A">
            <w:pPr>
              <w:keepNext/>
              <w:keepLines/>
              <w:spacing w:before="0" w:after="0" w:line="240" w:lineRule="auto"/>
              <w:jc w:val="right"/>
            </w:pPr>
            <w:r>
              <w:rPr>
                <w:rFonts w:ascii="Times New Roman" w:hAnsi="Times New Roman"/>
                <w:sz w:val="18"/>
              </w:rPr>
              <w:t>106,8</w:t>
            </w:r>
          </w:p>
        </w:tc>
      </w:tr>
    </w:tbl>
    <w:p w14:paraId="338E7993">
      <w:pPr>
        <w:spacing w:before="0" w:after="0"/>
      </w:pPr>
    </w:p>
    <w:p w14:paraId="20697071">
      <w:r>
        <w:t>Do povećenja prihoda došlo je zbog već spomenute korekcije osnovice za plaću od 1. veljače 3% i od 1.rujna 3% , a vezeno uz kolektivni ugovor</w:t>
      </w:r>
    </w:p>
    <w:p w14:paraId="6BBEE728"/>
    <w:p w14:paraId="14715DB7">
      <w:pPr>
        <w:keepNext/>
        <w:spacing w:line="240" w:lineRule="auto"/>
        <w:jc w:val="center"/>
      </w:pPr>
      <w:r>
        <w:rPr>
          <w:rFonts w:ascii="Times New Roman" w:hAnsi="Times New Roman"/>
          <w:sz w:val="28"/>
        </w:rPr>
        <w:t>Bilješka 4.</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1026B7F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ED7F12E">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798D2B6F">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63AEA5BC">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174635C">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B5DCBF7">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95BF79F">
            <w:pPr>
              <w:keepNext/>
              <w:keepLines/>
              <w:spacing w:before="0" w:after="0" w:line="240" w:lineRule="auto"/>
              <w:jc w:val="center"/>
            </w:pPr>
            <w:r>
              <w:rPr>
                <w:rFonts w:ascii="Times New Roman" w:hAnsi="Times New Roman"/>
                <w:b/>
                <w:sz w:val="18"/>
              </w:rPr>
              <w:t>Indeks (%)</w:t>
            </w:r>
          </w:p>
        </w:tc>
      </w:tr>
      <w:tr w14:paraId="5D3C618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DB25A55">
            <w:pPr>
              <w:keepNext/>
              <w:keepLines/>
              <w:spacing w:before="0" w:after="0" w:line="240" w:lineRule="auto"/>
              <w:jc w:val="left"/>
            </w:pPr>
            <w:r>
              <w:rPr>
                <w:rFonts w:ascii="Times New Roman" w:hAnsi="Times New Roman"/>
                <w:sz w:val="18"/>
              </w:rPr>
              <w:t>6362</w:t>
            </w:r>
          </w:p>
        </w:tc>
        <w:tc>
          <w:tcPr>
            <w:tcMar>
              <w:top w:w="0" w:type="dxa"/>
              <w:bottom w:w="0" w:type="dxa"/>
            </w:tcMar>
            <w:vAlign w:val="center"/>
          </w:tcPr>
          <w:p w14:paraId="5C6FAE3F">
            <w:pPr>
              <w:keepNext/>
              <w:keepLines/>
              <w:spacing w:before="0" w:after="0" w:line="240" w:lineRule="auto"/>
              <w:jc w:val="left"/>
            </w:pPr>
            <w:r>
              <w:rPr>
                <w:rFonts w:ascii="Times New Roman" w:hAnsi="Times New Roman"/>
                <w:sz w:val="18"/>
              </w:rPr>
              <w:t>Kapitalne pomoći proračunskim korisnicima iz proračuna koji im nije nadležan</w:t>
            </w:r>
          </w:p>
        </w:tc>
        <w:tc>
          <w:tcPr>
            <w:tcMar>
              <w:top w:w="0" w:type="dxa"/>
              <w:bottom w:w="0" w:type="dxa"/>
            </w:tcMar>
            <w:vAlign w:val="center"/>
          </w:tcPr>
          <w:p w14:paraId="754009A9">
            <w:pPr>
              <w:keepNext/>
              <w:keepLines/>
              <w:spacing w:before="0" w:after="0" w:line="240" w:lineRule="auto"/>
              <w:jc w:val="left"/>
            </w:pPr>
            <w:r>
              <w:rPr>
                <w:rFonts w:ascii="Times New Roman" w:hAnsi="Times New Roman"/>
                <w:sz w:val="18"/>
              </w:rPr>
              <w:t>6362</w:t>
            </w:r>
          </w:p>
        </w:tc>
        <w:tc>
          <w:tcPr>
            <w:tcMar>
              <w:top w:w="0" w:type="dxa"/>
              <w:bottom w:w="0" w:type="dxa"/>
            </w:tcMar>
            <w:vAlign w:val="center"/>
          </w:tcPr>
          <w:p w14:paraId="48AA85BD">
            <w:pPr>
              <w:keepNext/>
              <w:keepLines/>
              <w:spacing w:before="0" w:after="0" w:line="240" w:lineRule="auto"/>
              <w:jc w:val="right"/>
            </w:pPr>
            <w:r>
              <w:rPr>
                <w:rFonts w:ascii="Times New Roman" w:hAnsi="Times New Roman"/>
                <w:sz w:val="18"/>
              </w:rPr>
              <w:t>3.303,11</w:t>
            </w:r>
          </w:p>
        </w:tc>
        <w:tc>
          <w:tcPr>
            <w:tcMar>
              <w:top w:w="0" w:type="dxa"/>
              <w:bottom w:w="0" w:type="dxa"/>
            </w:tcMar>
            <w:vAlign w:val="center"/>
          </w:tcPr>
          <w:p w14:paraId="58EE298C">
            <w:pPr>
              <w:keepNext/>
              <w:keepLines/>
              <w:spacing w:before="0" w:after="0" w:line="240" w:lineRule="auto"/>
              <w:jc w:val="right"/>
            </w:pPr>
            <w:r>
              <w:rPr>
                <w:rFonts w:ascii="Times New Roman" w:hAnsi="Times New Roman"/>
                <w:sz w:val="18"/>
              </w:rPr>
              <w:t>1.310,66</w:t>
            </w:r>
          </w:p>
        </w:tc>
        <w:tc>
          <w:tcPr>
            <w:tcMar>
              <w:top w:w="0" w:type="dxa"/>
              <w:bottom w:w="0" w:type="dxa"/>
            </w:tcMar>
            <w:vAlign w:val="center"/>
          </w:tcPr>
          <w:p w14:paraId="08291A84">
            <w:pPr>
              <w:keepNext/>
              <w:keepLines/>
              <w:spacing w:before="0" w:after="0" w:line="240" w:lineRule="auto"/>
              <w:jc w:val="right"/>
            </w:pPr>
            <w:r>
              <w:rPr>
                <w:rFonts w:ascii="Times New Roman" w:hAnsi="Times New Roman"/>
                <w:sz w:val="18"/>
              </w:rPr>
              <w:t>39,7</w:t>
            </w:r>
          </w:p>
        </w:tc>
      </w:tr>
    </w:tbl>
    <w:p w14:paraId="6F140F87">
      <w:pPr>
        <w:spacing w:before="0" w:after="0"/>
      </w:pPr>
    </w:p>
    <w:p w14:paraId="6F424277">
      <w:r>
        <w:t>Umanjenje prihoda za kapitalne pomoći proračunskim korisnicima nastalo je zbog toga što je škola ove godine imala potrebu nabave za više radnih udžbenika u odnosu na 2024 godinu.</w:t>
      </w:r>
    </w:p>
    <w:p w14:paraId="0F44BB77"/>
    <w:p w14:paraId="73C55C1E">
      <w:pPr>
        <w:keepNext/>
        <w:spacing w:line="240" w:lineRule="auto"/>
        <w:jc w:val="center"/>
      </w:pPr>
      <w:r>
        <w:rPr>
          <w:rFonts w:ascii="Times New Roman" w:hAnsi="Times New Roman"/>
          <w:sz w:val="28"/>
        </w:rPr>
        <w:t>Bilješka 5.</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5B9879D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33EAC21">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7BE5D006">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72FB8D9">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C88C112">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B25A44A">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60BE7E0">
            <w:pPr>
              <w:keepNext/>
              <w:keepLines/>
              <w:spacing w:before="0" w:after="0" w:line="240" w:lineRule="auto"/>
              <w:jc w:val="center"/>
            </w:pPr>
            <w:r>
              <w:rPr>
                <w:rFonts w:ascii="Times New Roman" w:hAnsi="Times New Roman"/>
                <w:b/>
                <w:sz w:val="18"/>
              </w:rPr>
              <w:t>Indeks (%)</w:t>
            </w:r>
          </w:p>
        </w:tc>
      </w:tr>
      <w:tr w14:paraId="55FB806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A15B395">
            <w:pPr>
              <w:keepNext/>
              <w:keepLines/>
              <w:spacing w:before="0" w:after="0" w:line="240" w:lineRule="auto"/>
              <w:jc w:val="left"/>
            </w:pPr>
            <w:r>
              <w:rPr>
                <w:rFonts w:ascii="Times New Roman" w:hAnsi="Times New Roman"/>
                <w:sz w:val="18"/>
              </w:rPr>
              <w:t>652</w:t>
            </w:r>
          </w:p>
        </w:tc>
        <w:tc>
          <w:tcPr>
            <w:tcMar>
              <w:top w:w="0" w:type="dxa"/>
              <w:bottom w:w="0" w:type="dxa"/>
            </w:tcMar>
            <w:vAlign w:val="center"/>
          </w:tcPr>
          <w:p w14:paraId="27E89DA1">
            <w:pPr>
              <w:keepNext/>
              <w:keepLines/>
              <w:spacing w:before="0" w:after="0" w:line="240" w:lineRule="auto"/>
              <w:jc w:val="left"/>
            </w:pPr>
            <w:r>
              <w:rPr>
                <w:rFonts w:ascii="Times New Roman" w:hAnsi="Times New Roman"/>
                <w:sz w:val="18"/>
              </w:rPr>
              <w:t>Prihodi po posebnim propisima (šifre 6521 do 6528)</w:t>
            </w:r>
          </w:p>
        </w:tc>
        <w:tc>
          <w:tcPr>
            <w:tcMar>
              <w:top w:w="0" w:type="dxa"/>
              <w:bottom w:w="0" w:type="dxa"/>
            </w:tcMar>
            <w:vAlign w:val="center"/>
          </w:tcPr>
          <w:p w14:paraId="6ADCEAD1">
            <w:pPr>
              <w:keepNext/>
              <w:keepLines/>
              <w:spacing w:before="0" w:after="0" w:line="240" w:lineRule="auto"/>
              <w:jc w:val="left"/>
            </w:pPr>
            <w:r>
              <w:rPr>
                <w:rFonts w:ascii="Times New Roman" w:hAnsi="Times New Roman"/>
                <w:sz w:val="18"/>
              </w:rPr>
              <w:t>652</w:t>
            </w:r>
          </w:p>
        </w:tc>
        <w:tc>
          <w:tcPr>
            <w:tcMar>
              <w:top w:w="0" w:type="dxa"/>
              <w:bottom w:w="0" w:type="dxa"/>
            </w:tcMar>
            <w:vAlign w:val="center"/>
          </w:tcPr>
          <w:p w14:paraId="110C5DAE">
            <w:pPr>
              <w:keepNext/>
              <w:keepLines/>
              <w:spacing w:before="0" w:after="0" w:line="240" w:lineRule="auto"/>
              <w:jc w:val="right"/>
            </w:pPr>
            <w:r>
              <w:rPr>
                <w:rFonts w:ascii="Times New Roman" w:hAnsi="Times New Roman"/>
                <w:sz w:val="18"/>
              </w:rPr>
              <w:t>1.913,40</w:t>
            </w:r>
          </w:p>
        </w:tc>
        <w:tc>
          <w:tcPr>
            <w:tcMar>
              <w:top w:w="0" w:type="dxa"/>
              <w:bottom w:w="0" w:type="dxa"/>
            </w:tcMar>
            <w:vAlign w:val="center"/>
          </w:tcPr>
          <w:p w14:paraId="3698F683">
            <w:pPr>
              <w:keepNext/>
              <w:keepLines/>
              <w:spacing w:before="0" w:after="0" w:line="240" w:lineRule="auto"/>
              <w:jc w:val="right"/>
            </w:pPr>
            <w:r>
              <w:rPr>
                <w:rFonts w:ascii="Times New Roman" w:hAnsi="Times New Roman"/>
                <w:sz w:val="18"/>
              </w:rPr>
              <w:t>848,54</w:t>
            </w:r>
          </w:p>
        </w:tc>
        <w:tc>
          <w:tcPr>
            <w:tcMar>
              <w:top w:w="0" w:type="dxa"/>
              <w:bottom w:w="0" w:type="dxa"/>
            </w:tcMar>
            <w:vAlign w:val="center"/>
          </w:tcPr>
          <w:p w14:paraId="1F56765B">
            <w:pPr>
              <w:keepNext/>
              <w:keepLines/>
              <w:spacing w:before="0" w:after="0" w:line="240" w:lineRule="auto"/>
              <w:jc w:val="right"/>
            </w:pPr>
            <w:r>
              <w:rPr>
                <w:rFonts w:ascii="Times New Roman" w:hAnsi="Times New Roman"/>
                <w:sz w:val="18"/>
              </w:rPr>
              <w:t>44,3</w:t>
            </w:r>
          </w:p>
        </w:tc>
      </w:tr>
    </w:tbl>
    <w:p w14:paraId="567C321B">
      <w:pPr>
        <w:spacing w:before="0" w:after="0"/>
      </w:pPr>
    </w:p>
    <w:p w14:paraId="3A84BF05">
      <w:r>
        <w:t>Do umanjenja prihoda po posebnim propisima došlo je zbog sufinanciranja troškova marendi za učenike rome, od strane MZOM- a. </w:t>
      </w:r>
    </w:p>
    <w:p w14:paraId="733C659F"/>
    <w:p w14:paraId="7C57D3E5">
      <w:pPr>
        <w:keepNext/>
        <w:spacing w:line="240" w:lineRule="auto"/>
        <w:jc w:val="center"/>
      </w:pPr>
      <w:r>
        <w:rPr>
          <w:rFonts w:ascii="Times New Roman" w:hAnsi="Times New Roman"/>
          <w:sz w:val="28"/>
        </w:rPr>
        <w:t>Bilješka 6.</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406103AC">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EB6E8CF">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2B32AD9">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5C547D3">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6F29D128">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26BCD964">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4F1260A5">
            <w:pPr>
              <w:keepNext/>
              <w:keepLines/>
              <w:spacing w:before="0" w:after="0" w:line="240" w:lineRule="auto"/>
              <w:jc w:val="center"/>
            </w:pPr>
            <w:r>
              <w:rPr>
                <w:rFonts w:ascii="Times New Roman" w:hAnsi="Times New Roman"/>
                <w:b/>
                <w:sz w:val="18"/>
              </w:rPr>
              <w:t>Indeks (%)</w:t>
            </w:r>
          </w:p>
        </w:tc>
      </w:tr>
      <w:tr w14:paraId="045B8FD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13444B5">
            <w:pPr>
              <w:keepNext/>
              <w:keepLines/>
              <w:spacing w:before="0" w:after="0" w:line="240" w:lineRule="auto"/>
              <w:jc w:val="left"/>
            </w:pPr>
            <w:r>
              <w:rPr>
                <w:rFonts w:ascii="Times New Roman" w:hAnsi="Times New Roman"/>
                <w:sz w:val="18"/>
              </w:rPr>
              <w:t>6631</w:t>
            </w:r>
          </w:p>
        </w:tc>
        <w:tc>
          <w:tcPr>
            <w:tcMar>
              <w:top w:w="0" w:type="dxa"/>
              <w:bottom w:w="0" w:type="dxa"/>
            </w:tcMar>
            <w:vAlign w:val="center"/>
          </w:tcPr>
          <w:p w14:paraId="4C4CAB79">
            <w:pPr>
              <w:keepNext/>
              <w:keepLines/>
              <w:spacing w:before="0" w:after="0" w:line="240" w:lineRule="auto"/>
              <w:jc w:val="left"/>
            </w:pPr>
            <w:r>
              <w:rPr>
                <w:rFonts w:ascii="Times New Roman" w:hAnsi="Times New Roman"/>
                <w:sz w:val="18"/>
              </w:rPr>
              <w:t>Tekuće donacije</w:t>
            </w:r>
          </w:p>
        </w:tc>
        <w:tc>
          <w:tcPr>
            <w:tcMar>
              <w:top w:w="0" w:type="dxa"/>
              <w:bottom w:w="0" w:type="dxa"/>
            </w:tcMar>
            <w:vAlign w:val="center"/>
          </w:tcPr>
          <w:p w14:paraId="54C7A86E">
            <w:pPr>
              <w:keepNext/>
              <w:keepLines/>
              <w:spacing w:before="0" w:after="0" w:line="240" w:lineRule="auto"/>
              <w:jc w:val="left"/>
            </w:pPr>
            <w:r>
              <w:rPr>
                <w:rFonts w:ascii="Times New Roman" w:hAnsi="Times New Roman"/>
                <w:sz w:val="18"/>
              </w:rPr>
              <w:t>6631</w:t>
            </w:r>
          </w:p>
        </w:tc>
        <w:tc>
          <w:tcPr>
            <w:tcMar>
              <w:top w:w="0" w:type="dxa"/>
              <w:bottom w:w="0" w:type="dxa"/>
            </w:tcMar>
            <w:vAlign w:val="center"/>
          </w:tcPr>
          <w:p w14:paraId="57BD5814">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1E42F807">
            <w:pPr>
              <w:keepNext/>
              <w:keepLines/>
              <w:spacing w:before="0" w:after="0" w:line="240" w:lineRule="auto"/>
              <w:jc w:val="right"/>
            </w:pPr>
            <w:r>
              <w:rPr>
                <w:rFonts w:ascii="Times New Roman" w:hAnsi="Times New Roman"/>
                <w:sz w:val="18"/>
              </w:rPr>
              <w:t>342,00</w:t>
            </w:r>
          </w:p>
        </w:tc>
        <w:tc>
          <w:tcPr>
            <w:tcMar>
              <w:top w:w="0" w:type="dxa"/>
              <w:bottom w:w="0" w:type="dxa"/>
            </w:tcMar>
            <w:vAlign w:val="center"/>
          </w:tcPr>
          <w:p w14:paraId="39FA06A6">
            <w:pPr>
              <w:keepNext/>
              <w:keepLines/>
              <w:spacing w:before="0" w:after="0" w:line="240" w:lineRule="auto"/>
              <w:jc w:val="right"/>
            </w:pPr>
            <w:r>
              <w:rPr>
                <w:rFonts w:ascii="Times New Roman" w:hAnsi="Times New Roman"/>
                <w:sz w:val="18"/>
              </w:rPr>
              <w:t>-</w:t>
            </w:r>
          </w:p>
        </w:tc>
      </w:tr>
    </w:tbl>
    <w:p w14:paraId="4855D0CD">
      <w:pPr>
        <w:spacing w:before="0" w:after="0"/>
      </w:pPr>
    </w:p>
    <w:p w14:paraId="41C6491B">
      <w:r>
        <w:t>Primljena donacija od Riječke nadbiskupije za provedbu terenske nastave Edukativni posjet farmi magaraca.</w:t>
      </w:r>
    </w:p>
    <w:p w14:paraId="225BB4DE"/>
    <w:p w14:paraId="41205F6F">
      <w:pPr>
        <w:keepNext/>
        <w:spacing w:line="240" w:lineRule="auto"/>
        <w:jc w:val="center"/>
      </w:pPr>
      <w:r>
        <w:rPr>
          <w:rFonts w:ascii="Times New Roman" w:hAnsi="Times New Roman"/>
          <w:sz w:val="28"/>
        </w:rPr>
        <w:t>Bilješka 7.</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79CC4376">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204F814F">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446D3C2">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620432DE">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0FADBED5">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DCD21A6">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0787A2A9">
            <w:pPr>
              <w:keepNext/>
              <w:keepLines/>
              <w:spacing w:before="0" w:after="0" w:line="240" w:lineRule="auto"/>
              <w:jc w:val="center"/>
            </w:pPr>
            <w:r>
              <w:rPr>
                <w:rFonts w:ascii="Times New Roman" w:hAnsi="Times New Roman"/>
                <w:b/>
                <w:sz w:val="18"/>
              </w:rPr>
              <w:t>Indeks (%)</w:t>
            </w:r>
          </w:p>
        </w:tc>
      </w:tr>
      <w:tr w14:paraId="5F35A28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13FF9D1">
            <w:pPr>
              <w:keepNext/>
              <w:keepLines/>
              <w:spacing w:before="0" w:after="0" w:line="240" w:lineRule="auto"/>
              <w:jc w:val="left"/>
            </w:pPr>
            <w:r>
              <w:rPr>
                <w:rFonts w:ascii="Times New Roman" w:hAnsi="Times New Roman"/>
                <w:sz w:val="18"/>
              </w:rPr>
              <w:t>6711</w:t>
            </w:r>
          </w:p>
        </w:tc>
        <w:tc>
          <w:tcPr>
            <w:tcMar>
              <w:top w:w="0" w:type="dxa"/>
              <w:bottom w:w="0" w:type="dxa"/>
            </w:tcMar>
            <w:vAlign w:val="center"/>
          </w:tcPr>
          <w:p w14:paraId="05C97185">
            <w:pPr>
              <w:keepNext/>
              <w:keepLines/>
              <w:spacing w:before="0" w:after="0" w:line="240" w:lineRule="auto"/>
              <w:jc w:val="left"/>
            </w:pPr>
            <w:r>
              <w:rPr>
                <w:rFonts w:ascii="Times New Roman" w:hAnsi="Times New Roman"/>
                <w:sz w:val="18"/>
              </w:rPr>
              <w:t>Prihodi iz nadležnog proračuna za financiranje rashoda poslovanja</w:t>
            </w:r>
          </w:p>
        </w:tc>
        <w:tc>
          <w:tcPr>
            <w:tcMar>
              <w:top w:w="0" w:type="dxa"/>
              <w:bottom w:w="0" w:type="dxa"/>
            </w:tcMar>
            <w:vAlign w:val="center"/>
          </w:tcPr>
          <w:p w14:paraId="1E1BCDF0">
            <w:pPr>
              <w:keepNext/>
              <w:keepLines/>
              <w:spacing w:before="0" w:after="0" w:line="240" w:lineRule="auto"/>
              <w:jc w:val="left"/>
            </w:pPr>
            <w:r>
              <w:rPr>
                <w:rFonts w:ascii="Times New Roman" w:hAnsi="Times New Roman"/>
                <w:sz w:val="18"/>
              </w:rPr>
              <w:t>6711</w:t>
            </w:r>
          </w:p>
        </w:tc>
        <w:tc>
          <w:tcPr>
            <w:tcMar>
              <w:top w:w="0" w:type="dxa"/>
              <w:bottom w:w="0" w:type="dxa"/>
            </w:tcMar>
            <w:vAlign w:val="center"/>
          </w:tcPr>
          <w:p w14:paraId="7894DBB9">
            <w:pPr>
              <w:keepNext/>
              <w:keepLines/>
              <w:spacing w:before="0" w:after="0" w:line="240" w:lineRule="auto"/>
              <w:jc w:val="right"/>
            </w:pPr>
            <w:r>
              <w:rPr>
                <w:rFonts w:ascii="Times New Roman" w:hAnsi="Times New Roman"/>
                <w:sz w:val="18"/>
              </w:rPr>
              <w:t>59.172,58</w:t>
            </w:r>
          </w:p>
        </w:tc>
        <w:tc>
          <w:tcPr>
            <w:tcMar>
              <w:top w:w="0" w:type="dxa"/>
              <w:bottom w:w="0" w:type="dxa"/>
            </w:tcMar>
            <w:vAlign w:val="center"/>
          </w:tcPr>
          <w:p w14:paraId="7A108F4A">
            <w:pPr>
              <w:keepNext/>
              <w:keepLines/>
              <w:spacing w:before="0" w:after="0" w:line="240" w:lineRule="auto"/>
              <w:jc w:val="right"/>
            </w:pPr>
            <w:r>
              <w:rPr>
                <w:rFonts w:ascii="Times New Roman" w:hAnsi="Times New Roman"/>
                <w:sz w:val="18"/>
              </w:rPr>
              <w:t>73.908,05</w:t>
            </w:r>
          </w:p>
        </w:tc>
        <w:tc>
          <w:tcPr>
            <w:tcMar>
              <w:top w:w="0" w:type="dxa"/>
              <w:bottom w:w="0" w:type="dxa"/>
            </w:tcMar>
            <w:vAlign w:val="center"/>
          </w:tcPr>
          <w:p w14:paraId="2BE6D7F7">
            <w:pPr>
              <w:keepNext/>
              <w:keepLines/>
              <w:spacing w:before="0" w:after="0" w:line="240" w:lineRule="auto"/>
              <w:jc w:val="right"/>
            </w:pPr>
            <w:r>
              <w:rPr>
                <w:rFonts w:ascii="Times New Roman" w:hAnsi="Times New Roman"/>
                <w:sz w:val="18"/>
              </w:rPr>
              <w:t>124,9</w:t>
            </w:r>
          </w:p>
        </w:tc>
      </w:tr>
    </w:tbl>
    <w:p w14:paraId="3F32A41A">
      <w:pPr>
        <w:spacing w:before="0" w:after="0"/>
      </w:pPr>
    </w:p>
    <w:p w14:paraId="1C14A928">
      <w:r>
        <w:t>Do povećanja prihoda iz nadležnog proračuna za financiranje rashoda poslovanje došlo je zbog investicijskog održavanja, odnosno zamjenom vratiju na učionicama.</w:t>
      </w:r>
    </w:p>
    <w:p w14:paraId="59C5E605"/>
    <w:p w14:paraId="3D09237C">
      <w:pPr>
        <w:keepNext/>
        <w:spacing w:line="240" w:lineRule="auto"/>
        <w:jc w:val="center"/>
      </w:pPr>
      <w:r>
        <w:rPr>
          <w:rFonts w:ascii="Times New Roman" w:hAnsi="Times New Roman"/>
          <w:sz w:val="28"/>
        </w:rPr>
        <w:t>Bilješka 8.</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F75A7A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017885C9">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521CED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6E2FAB3F">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2DC93ED">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673CA2F9">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68E1BB4F">
            <w:pPr>
              <w:keepNext/>
              <w:keepLines/>
              <w:spacing w:before="0" w:after="0" w:line="240" w:lineRule="auto"/>
              <w:jc w:val="center"/>
            </w:pPr>
            <w:r>
              <w:rPr>
                <w:rFonts w:ascii="Times New Roman" w:hAnsi="Times New Roman"/>
                <w:b/>
                <w:sz w:val="18"/>
              </w:rPr>
              <w:t>Indeks (%)</w:t>
            </w:r>
          </w:p>
        </w:tc>
      </w:tr>
      <w:tr w14:paraId="0988330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0A0F998B">
            <w:pPr>
              <w:keepNext/>
              <w:keepLines/>
              <w:spacing w:before="0" w:after="0" w:line="240" w:lineRule="auto"/>
              <w:jc w:val="left"/>
            </w:pPr>
            <w:r>
              <w:rPr>
                <w:rFonts w:ascii="Times New Roman" w:hAnsi="Times New Roman"/>
                <w:sz w:val="18"/>
              </w:rPr>
              <w:t>31</w:t>
            </w:r>
          </w:p>
        </w:tc>
        <w:tc>
          <w:tcPr>
            <w:tcMar>
              <w:top w:w="0" w:type="dxa"/>
              <w:bottom w:w="0" w:type="dxa"/>
            </w:tcMar>
            <w:vAlign w:val="center"/>
          </w:tcPr>
          <w:p w14:paraId="17CEA70F">
            <w:pPr>
              <w:keepNext/>
              <w:keepLines/>
              <w:spacing w:before="0" w:after="0" w:line="240" w:lineRule="auto"/>
              <w:jc w:val="left"/>
            </w:pPr>
            <w:r>
              <w:rPr>
                <w:rFonts w:ascii="Times New Roman" w:hAnsi="Times New Roman"/>
                <w:sz w:val="18"/>
              </w:rPr>
              <w:t>Rashodi za zaposlene (šifre 311+312+313)</w:t>
            </w:r>
          </w:p>
        </w:tc>
        <w:tc>
          <w:tcPr>
            <w:tcMar>
              <w:top w:w="0" w:type="dxa"/>
              <w:bottom w:w="0" w:type="dxa"/>
            </w:tcMar>
            <w:vAlign w:val="center"/>
          </w:tcPr>
          <w:p w14:paraId="7CBC5B05">
            <w:pPr>
              <w:keepNext/>
              <w:keepLines/>
              <w:spacing w:before="0" w:after="0" w:line="240" w:lineRule="auto"/>
              <w:jc w:val="left"/>
            </w:pPr>
            <w:r>
              <w:rPr>
                <w:rFonts w:ascii="Times New Roman" w:hAnsi="Times New Roman"/>
                <w:sz w:val="18"/>
              </w:rPr>
              <w:t>31</w:t>
            </w:r>
          </w:p>
        </w:tc>
        <w:tc>
          <w:tcPr>
            <w:tcMar>
              <w:top w:w="0" w:type="dxa"/>
              <w:bottom w:w="0" w:type="dxa"/>
            </w:tcMar>
            <w:vAlign w:val="center"/>
          </w:tcPr>
          <w:p w14:paraId="32C1A647">
            <w:pPr>
              <w:keepNext/>
              <w:keepLines/>
              <w:spacing w:before="0" w:after="0" w:line="240" w:lineRule="auto"/>
              <w:jc w:val="right"/>
            </w:pPr>
            <w:r>
              <w:rPr>
                <w:rFonts w:ascii="Times New Roman" w:hAnsi="Times New Roman"/>
                <w:sz w:val="18"/>
              </w:rPr>
              <w:t>526.616,65</w:t>
            </w:r>
          </w:p>
        </w:tc>
        <w:tc>
          <w:tcPr>
            <w:tcMar>
              <w:top w:w="0" w:type="dxa"/>
              <w:bottom w:w="0" w:type="dxa"/>
            </w:tcMar>
            <w:vAlign w:val="center"/>
          </w:tcPr>
          <w:p w14:paraId="65DF44BF">
            <w:pPr>
              <w:keepNext/>
              <w:keepLines/>
              <w:spacing w:before="0" w:after="0" w:line="240" w:lineRule="auto"/>
              <w:jc w:val="right"/>
            </w:pPr>
            <w:r>
              <w:rPr>
                <w:rFonts w:ascii="Times New Roman" w:hAnsi="Times New Roman"/>
                <w:sz w:val="18"/>
              </w:rPr>
              <w:t>617.631,10</w:t>
            </w:r>
          </w:p>
        </w:tc>
        <w:tc>
          <w:tcPr>
            <w:tcMar>
              <w:top w:w="0" w:type="dxa"/>
              <w:bottom w:w="0" w:type="dxa"/>
            </w:tcMar>
            <w:vAlign w:val="center"/>
          </w:tcPr>
          <w:p w14:paraId="5CAE5AA2">
            <w:pPr>
              <w:keepNext/>
              <w:keepLines/>
              <w:spacing w:before="0" w:after="0" w:line="240" w:lineRule="auto"/>
              <w:jc w:val="right"/>
            </w:pPr>
            <w:r>
              <w:rPr>
                <w:rFonts w:ascii="Times New Roman" w:hAnsi="Times New Roman"/>
                <w:sz w:val="18"/>
              </w:rPr>
              <w:t>117,3</w:t>
            </w:r>
          </w:p>
        </w:tc>
      </w:tr>
    </w:tbl>
    <w:p w14:paraId="2EF932EC">
      <w:pPr>
        <w:spacing w:before="0" w:after="0"/>
      </w:pPr>
    </w:p>
    <w:p w14:paraId="40D6B811">
      <w:r>
        <w:t>Do povećanja je došlo zbog već spomnute korekcije osnovica na plaću, također i Sukladno novom Pravilniku ukinuti su dosadašnji kontinuirani troškovi te se sada knjiže potraživanja za obračunate plaće. Tako je prvi put ove godine knjiženo je 13 plaća (ranije se tijekom godine knjižilo 12 plaća).</w:t>
      </w:r>
    </w:p>
    <w:p w14:paraId="718C63AA"/>
    <w:p w14:paraId="2299226D">
      <w:pPr>
        <w:keepNext/>
        <w:spacing w:line="240" w:lineRule="auto"/>
        <w:jc w:val="center"/>
      </w:pPr>
      <w:r>
        <w:rPr>
          <w:rFonts w:ascii="Times New Roman" w:hAnsi="Times New Roman"/>
          <w:sz w:val="28"/>
        </w:rPr>
        <w:t>Bilješka 9.</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3F8C44F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43C19441">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DF93209">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469F8A29">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629E5D0B">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6AABA679">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2F819305">
            <w:pPr>
              <w:keepNext/>
              <w:keepLines/>
              <w:spacing w:before="0" w:after="0" w:line="240" w:lineRule="auto"/>
              <w:jc w:val="center"/>
            </w:pPr>
            <w:r>
              <w:rPr>
                <w:rFonts w:ascii="Times New Roman" w:hAnsi="Times New Roman"/>
                <w:b/>
                <w:sz w:val="18"/>
              </w:rPr>
              <w:t>Indeks (%)</w:t>
            </w:r>
          </w:p>
        </w:tc>
      </w:tr>
      <w:tr w14:paraId="4C036E76">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E215714">
            <w:pPr>
              <w:keepNext/>
              <w:keepLines/>
              <w:spacing w:before="0" w:after="0" w:line="240" w:lineRule="auto"/>
              <w:jc w:val="left"/>
            </w:pPr>
            <w:r>
              <w:rPr>
                <w:rFonts w:ascii="Times New Roman" w:hAnsi="Times New Roman"/>
                <w:sz w:val="18"/>
              </w:rPr>
              <w:t>3111</w:t>
            </w:r>
          </w:p>
        </w:tc>
        <w:tc>
          <w:tcPr>
            <w:tcMar>
              <w:top w:w="0" w:type="dxa"/>
              <w:bottom w:w="0" w:type="dxa"/>
            </w:tcMar>
            <w:vAlign w:val="center"/>
          </w:tcPr>
          <w:p w14:paraId="2E17F2EF">
            <w:pPr>
              <w:keepNext/>
              <w:keepLines/>
              <w:spacing w:before="0" w:after="0" w:line="240" w:lineRule="auto"/>
              <w:jc w:val="left"/>
            </w:pPr>
            <w:r>
              <w:rPr>
                <w:rFonts w:ascii="Times New Roman" w:hAnsi="Times New Roman"/>
                <w:sz w:val="18"/>
              </w:rPr>
              <w:t>Plaće za redovan rad</w:t>
            </w:r>
          </w:p>
        </w:tc>
        <w:tc>
          <w:tcPr>
            <w:tcMar>
              <w:top w:w="0" w:type="dxa"/>
              <w:bottom w:w="0" w:type="dxa"/>
            </w:tcMar>
            <w:vAlign w:val="center"/>
          </w:tcPr>
          <w:p w14:paraId="327EEB90">
            <w:pPr>
              <w:keepNext/>
              <w:keepLines/>
              <w:spacing w:before="0" w:after="0" w:line="240" w:lineRule="auto"/>
              <w:jc w:val="left"/>
            </w:pPr>
            <w:r>
              <w:rPr>
                <w:rFonts w:ascii="Times New Roman" w:hAnsi="Times New Roman"/>
                <w:sz w:val="18"/>
              </w:rPr>
              <w:t>3111</w:t>
            </w:r>
          </w:p>
        </w:tc>
        <w:tc>
          <w:tcPr>
            <w:tcMar>
              <w:top w:w="0" w:type="dxa"/>
              <w:bottom w:w="0" w:type="dxa"/>
            </w:tcMar>
            <w:vAlign w:val="center"/>
          </w:tcPr>
          <w:p w14:paraId="7CE7BD1B">
            <w:pPr>
              <w:keepNext/>
              <w:keepLines/>
              <w:spacing w:before="0" w:after="0" w:line="240" w:lineRule="auto"/>
              <w:jc w:val="right"/>
            </w:pPr>
            <w:r>
              <w:rPr>
                <w:rFonts w:ascii="Times New Roman" w:hAnsi="Times New Roman"/>
                <w:sz w:val="18"/>
              </w:rPr>
              <w:t>429.641,90</w:t>
            </w:r>
          </w:p>
        </w:tc>
        <w:tc>
          <w:tcPr>
            <w:tcMar>
              <w:top w:w="0" w:type="dxa"/>
              <w:bottom w:w="0" w:type="dxa"/>
            </w:tcMar>
            <w:vAlign w:val="center"/>
          </w:tcPr>
          <w:p w14:paraId="37D9178E">
            <w:pPr>
              <w:keepNext/>
              <w:keepLines/>
              <w:spacing w:before="0" w:after="0" w:line="240" w:lineRule="auto"/>
              <w:jc w:val="right"/>
            </w:pPr>
            <w:r>
              <w:rPr>
                <w:rFonts w:ascii="Times New Roman" w:hAnsi="Times New Roman"/>
                <w:sz w:val="18"/>
              </w:rPr>
              <w:t>499.419,03</w:t>
            </w:r>
          </w:p>
        </w:tc>
        <w:tc>
          <w:tcPr>
            <w:tcMar>
              <w:top w:w="0" w:type="dxa"/>
              <w:bottom w:w="0" w:type="dxa"/>
            </w:tcMar>
            <w:vAlign w:val="center"/>
          </w:tcPr>
          <w:p w14:paraId="4CBFA2D7">
            <w:pPr>
              <w:keepNext/>
              <w:keepLines/>
              <w:spacing w:before="0" w:after="0" w:line="240" w:lineRule="auto"/>
              <w:jc w:val="right"/>
            </w:pPr>
            <w:r>
              <w:rPr>
                <w:rFonts w:ascii="Times New Roman" w:hAnsi="Times New Roman"/>
                <w:sz w:val="18"/>
              </w:rPr>
              <w:t>116,2</w:t>
            </w:r>
          </w:p>
        </w:tc>
      </w:tr>
    </w:tbl>
    <w:p w14:paraId="7F637531">
      <w:pPr>
        <w:spacing w:before="0" w:after="0"/>
      </w:pPr>
    </w:p>
    <w:p w14:paraId="7248645A">
      <w:r>
        <w:t>Sukladno novom Pravilniku ukinuti su dosadašnji kontinuirani troškovi te se sada knjiže potraživanja za obračunate plaće i ostale troškove koji su knjiženi po načelu nastanka, dok se prihodi priznaju na dan kad je bio priliv sredstava. Naime, po prvi put ove godine knjiženo je 13 plaća (ranije se tijekom godine knjižilo 12 plaća). </w:t>
      </w:r>
    </w:p>
    <w:p w14:paraId="29C59402"/>
    <w:p w14:paraId="0AF476F4">
      <w:pPr>
        <w:keepNext/>
        <w:spacing w:line="240" w:lineRule="auto"/>
        <w:jc w:val="center"/>
      </w:pPr>
      <w:r>
        <w:rPr>
          <w:rFonts w:ascii="Times New Roman" w:hAnsi="Times New Roman"/>
          <w:sz w:val="28"/>
        </w:rPr>
        <w:t>Bilješka 10.</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7670725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9730C5C">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32F880D">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55C1943">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397F4533">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B574029">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46893C2">
            <w:pPr>
              <w:keepNext/>
              <w:keepLines/>
              <w:spacing w:before="0" w:after="0" w:line="240" w:lineRule="auto"/>
              <w:jc w:val="center"/>
            </w:pPr>
            <w:r>
              <w:rPr>
                <w:rFonts w:ascii="Times New Roman" w:hAnsi="Times New Roman"/>
                <w:b/>
                <w:sz w:val="18"/>
              </w:rPr>
              <w:t>Indeks (%)</w:t>
            </w:r>
          </w:p>
        </w:tc>
      </w:tr>
      <w:tr w14:paraId="0AC963A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1D07C19A">
            <w:pPr>
              <w:keepNext/>
              <w:keepLines/>
              <w:spacing w:before="0" w:after="0" w:line="240" w:lineRule="auto"/>
              <w:jc w:val="left"/>
            </w:pPr>
            <w:r>
              <w:rPr>
                <w:rFonts w:ascii="Times New Roman" w:hAnsi="Times New Roman"/>
                <w:sz w:val="18"/>
              </w:rPr>
              <w:t>32</w:t>
            </w:r>
          </w:p>
        </w:tc>
        <w:tc>
          <w:tcPr>
            <w:tcMar>
              <w:top w:w="0" w:type="dxa"/>
              <w:bottom w:w="0" w:type="dxa"/>
            </w:tcMar>
            <w:vAlign w:val="center"/>
          </w:tcPr>
          <w:p w14:paraId="24D01568">
            <w:pPr>
              <w:keepNext/>
              <w:keepLines/>
              <w:spacing w:before="0" w:after="0" w:line="240" w:lineRule="auto"/>
              <w:jc w:val="left"/>
            </w:pPr>
            <w:r>
              <w:rPr>
                <w:rFonts w:ascii="Times New Roman" w:hAnsi="Times New Roman"/>
                <w:sz w:val="18"/>
              </w:rPr>
              <w:t>Materijalni rashodi (šifre 321+322+323+324+325+329)</w:t>
            </w:r>
          </w:p>
        </w:tc>
        <w:tc>
          <w:tcPr>
            <w:tcMar>
              <w:top w:w="0" w:type="dxa"/>
              <w:bottom w:w="0" w:type="dxa"/>
            </w:tcMar>
            <w:vAlign w:val="center"/>
          </w:tcPr>
          <w:p w14:paraId="37EE9B04">
            <w:pPr>
              <w:keepNext/>
              <w:keepLines/>
              <w:spacing w:before="0" w:after="0" w:line="240" w:lineRule="auto"/>
              <w:jc w:val="left"/>
            </w:pPr>
            <w:r>
              <w:rPr>
                <w:rFonts w:ascii="Times New Roman" w:hAnsi="Times New Roman"/>
                <w:sz w:val="18"/>
              </w:rPr>
              <w:t>32</w:t>
            </w:r>
          </w:p>
        </w:tc>
        <w:tc>
          <w:tcPr>
            <w:tcMar>
              <w:top w:w="0" w:type="dxa"/>
              <w:bottom w:w="0" w:type="dxa"/>
            </w:tcMar>
            <w:vAlign w:val="center"/>
          </w:tcPr>
          <w:p w14:paraId="7D5CA0DF">
            <w:pPr>
              <w:keepNext/>
              <w:keepLines/>
              <w:spacing w:before="0" w:after="0" w:line="240" w:lineRule="auto"/>
              <w:jc w:val="right"/>
            </w:pPr>
            <w:r>
              <w:rPr>
                <w:rFonts w:ascii="Times New Roman" w:hAnsi="Times New Roman"/>
                <w:sz w:val="18"/>
              </w:rPr>
              <w:t>81.767,53</w:t>
            </w:r>
          </w:p>
        </w:tc>
        <w:tc>
          <w:tcPr>
            <w:tcMar>
              <w:top w:w="0" w:type="dxa"/>
              <w:bottom w:w="0" w:type="dxa"/>
            </w:tcMar>
            <w:vAlign w:val="center"/>
          </w:tcPr>
          <w:p w14:paraId="516E37A4">
            <w:pPr>
              <w:keepNext/>
              <w:keepLines/>
              <w:spacing w:before="0" w:after="0" w:line="240" w:lineRule="auto"/>
              <w:jc w:val="right"/>
            </w:pPr>
            <w:r>
              <w:rPr>
                <w:rFonts w:ascii="Times New Roman" w:hAnsi="Times New Roman"/>
                <w:sz w:val="18"/>
              </w:rPr>
              <w:t>99.173,59</w:t>
            </w:r>
          </w:p>
        </w:tc>
        <w:tc>
          <w:tcPr>
            <w:tcMar>
              <w:top w:w="0" w:type="dxa"/>
              <w:bottom w:w="0" w:type="dxa"/>
            </w:tcMar>
            <w:vAlign w:val="center"/>
          </w:tcPr>
          <w:p w14:paraId="3BF58451">
            <w:pPr>
              <w:keepNext/>
              <w:keepLines/>
              <w:spacing w:before="0" w:after="0" w:line="240" w:lineRule="auto"/>
              <w:jc w:val="right"/>
            </w:pPr>
            <w:r>
              <w:rPr>
                <w:rFonts w:ascii="Times New Roman" w:hAnsi="Times New Roman"/>
                <w:sz w:val="18"/>
              </w:rPr>
              <w:t>121,3</w:t>
            </w:r>
          </w:p>
        </w:tc>
      </w:tr>
    </w:tbl>
    <w:p w14:paraId="65240E38">
      <w:pPr>
        <w:spacing w:before="0" w:after="0"/>
      </w:pPr>
    </w:p>
    <w:p w14:paraId="44620245">
      <w:r>
        <w:t>Do povećanja je došlo zbog već spomenutog investicijskog održavanja - zamjena vrata na učionicama.</w:t>
      </w:r>
    </w:p>
    <w:p w14:paraId="4CEE5C2E"/>
    <w:p w14:paraId="5A6375E2">
      <w:pPr>
        <w:keepNext/>
        <w:spacing w:line="240" w:lineRule="auto"/>
        <w:jc w:val="center"/>
      </w:pPr>
      <w:r>
        <w:rPr>
          <w:rFonts w:ascii="Times New Roman" w:hAnsi="Times New Roman"/>
          <w:sz w:val="28"/>
        </w:rPr>
        <w:t>Bilješka 11.</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28F028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4920BA7C">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A39883E">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42CBB2D">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46DFB5E1">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B218A31">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24309BDF">
            <w:pPr>
              <w:keepNext/>
              <w:keepLines/>
              <w:spacing w:before="0" w:after="0" w:line="240" w:lineRule="auto"/>
              <w:jc w:val="center"/>
            </w:pPr>
            <w:r>
              <w:rPr>
                <w:rFonts w:ascii="Times New Roman" w:hAnsi="Times New Roman"/>
                <w:b/>
                <w:sz w:val="18"/>
              </w:rPr>
              <w:t>Indeks (%)</w:t>
            </w:r>
          </w:p>
        </w:tc>
      </w:tr>
      <w:tr w14:paraId="5F0FB58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FFECC3C">
            <w:pPr>
              <w:keepNext/>
              <w:keepLines/>
              <w:spacing w:before="0" w:after="0" w:line="240" w:lineRule="auto"/>
              <w:jc w:val="left"/>
            </w:pPr>
            <w:r>
              <w:rPr>
                <w:rFonts w:ascii="Times New Roman" w:hAnsi="Times New Roman"/>
                <w:sz w:val="18"/>
              </w:rPr>
              <w:t>3223</w:t>
            </w:r>
          </w:p>
        </w:tc>
        <w:tc>
          <w:tcPr>
            <w:tcMar>
              <w:top w:w="0" w:type="dxa"/>
              <w:bottom w:w="0" w:type="dxa"/>
            </w:tcMar>
            <w:vAlign w:val="center"/>
          </w:tcPr>
          <w:p w14:paraId="2EC547C1">
            <w:pPr>
              <w:keepNext/>
              <w:keepLines/>
              <w:spacing w:before="0" w:after="0" w:line="240" w:lineRule="auto"/>
              <w:jc w:val="left"/>
            </w:pPr>
            <w:r>
              <w:rPr>
                <w:rFonts w:ascii="Times New Roman" w:hAnsi="Times New Roman"/>
                <w:sz w:val="18"/>
              </w:rPr>
              <w:t>Energija</w:t>
            </w:r>
          </w:p>
        </w:tc>
        <w:tc>
          <w:tcPr>
            <w:tcMar>
              <w:top w:w="0" w:type="dxa"/>
              <w:bottom w:w="0" w:type="dxa"/>
            </w:tcMar>
            <w:vAlign w:val="center"/>
          </w:tcPr>
          <w:p w14:paraId="0F2FC4B4">
            <w:pPr>
              <w:keepNext/>
              <w:keepLines/>
              <w:spacing w:before="0" w:after="0" w:line="240" w:lineRule="auto"/>
              <w:jc w:val="left"/>
            </w:pPr>
            <w:r>
              <w:rPr>
                <w:rFonts w:ascii="Times New Roman" w:hAnsi="Times New Roman"/>
                <w:sz w:val="18"/>
              </w:rPr>
              <w:t>3223</w:t>
            </w:r>
          </w:p>
        </w:tc>
        <w:tc>
          <w:tcPr>
            <w:tcMar>
              <w:top w:w="0" w:type="dxa"/>
              <w:bottom w:w="0" w:type="dxa"/>
            </w:tcMar>
            <w:vAlign w:val="center"/>
          </w:tcPr>
          <w:p w14:paraId="47A110E8">
            <w:pPr>
              <w:keepNext/>
              <w:keepLines/>
              <w:spacing w:before="0" w:after="0" w:line="240" w:lineRule="auto"/>
              <w:jc w:val="right"/>
            </w:pPr>
            <w:r>
              <w:rPr>
                <w:rFonts w:ascii="Times New Roman" w:hAnsi="Times New Roman"/>
                <w:sz w:val="18"/>
              </w:rPr>
              <w:t>15.569,07</w:t>
            </w:r>
          </w:p>
        </w:tc>
        <w:tc>
          <w:tcPr>
            <w:tcMar>
              <w:top w:w="0" w:type="dxa"/>
              <w:bottom w:w="0" w:type="dxa"/>
            </w:tcMar>
            <w:vAlign w:val="center"/>
          </w:tcPr>
          <w:p w14:paraId="4E51F73B">
            <w:pPr>
              <w:keepNext/>
              <w:keepLines/>
              <w:spacing w:before="0" w:after="0" w:line="240" w:lineRule="auto"/>
              <w:jc w:val="right"/>
            </w:pPr>
            <w:r>
              <w:rPr>
                <w:rFonts w:ascii="Times New Roman" w:hAnsi="Times New Roman"/>
                <w:sz w:val="18"/>
              </w:rPr>
              <w:t>19.982,46</w:t>
            </w:r>
          </w:p>
        </w:tc>
        <w:tc>
          <w:tcPr>
            <w:tcMar>
              <w:top w:w="0" w:type="dxa"/>
              <w:bottom w:w="0" w:type="dxa"/>
            </w:tcMar>
            <w:vAlign w:val="center"/>
          </w:tcPr>
          <w:p w14:paraId="3543AF1D">
            <w:pPr>
              <w:keepNext/>
              <w:keepLines/>
              <w:spacing w:before="0" w:after="0" w:line="240" w:lineRule="auto"/>
              <w:jc w:val="right"/>
            </w:pPr>
            <w:r>
              <w:rPr>
                <w:rFonts w:ascii="Times New Roman" w:hAnsi="Times New Roman"/>
                <w:sz w:val="18"/>
              </w:rPr>
              <w:t>128,3</w:t>
            </w:r>
          </w:p>
        </w:tc>
      </w:tr>
    </w:tbl>
    <w:p w14:paraId="38ABD23D">
      <w:pPr>
        <w:spacing w:before="0" w:after="0"/>
      </w:pPr>
    </w:p>
    <w:p w14:paraId="0080E2AD">
      <w:r>
        <w:t>Do povećanja je došlo zbog hladnije zime i povećane potrebe za grijanje.</w:t>
      </w:r>
    </w:p>
    <w:p w14:paraId="6AF30FE2"/>
    <w:p w14:paraId="7CE201CB">
      <w:pPr>
        <w:keepNext/>
        <w:spacing w:line="240" w:lineRule="auto"/>
        <w:jc w:val="center"/>
      </w:pPr>
      <w:r>
        <w:rPr>
          <w:rFonts w:ascii="Times New Roman" w:hAnsi="Times New Roman"/>
          <w:sz w:val="28"/>
        </w:rPr>
        <w:t>Bilješka 12.</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75C0A580">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2105E895">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AD9092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E120A85">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7B8219B1">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7C6DEE35">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F7F41EE">
            <w:pPr>
              <w:keepNext/>
              <w:keepLines/>
              <w:spacing w:before="0" w:after="0" w:line="240" w:lineRule="auto"/>
              <w:jc w:val="center"/>
            </w:pPr>
            <w:r>
              <w:rPr>
                <w:rFonts w:ascii="Times New Roman" w:hAnsi="Times New Roman"/>
                <w:b/>
                <w:sz w:val="18"/>
              </w:rPr>
              <w:t>Indeks (%)</w:t>
            </w:r>
          </w:p>
        </w:tc>
      </w:tr>
      <w:tr w14:paraId="08F5CD0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35B7549">
            <w:pPr>
              <w:keepNext/>
              <w:keepLines/>
              <w:spacing w:before="0" w:after="0" w:line="240" w:lineRule="auto"/>
              <w:jc w:val="left"/>
            </w:pPr>
            <w:r>
              <w:rPr>
                <w:rFonts w:ascii="Times New Roman" w:hAnsi="Times New Roman"/>
                <w:sz w:val="18"/>
              </w:rPr>
              <w:t>3225</w:t>
            </w:r>
          </w:p>
        </w:tc>
        <w:tc>
          <w:tcPr>
            <w:tcMar>
              <w:top w:w="0" w:type="dxa"/>
              <w:bottom w:w="0" w:type="dxa"/>
            </w:tcMar>
            <w:vAlign w:val="center"/>
          </w:tcPr>
          <w:p w14:paraId="53FA54B6">
            <w:pPr>
              <w:keepNext/>
              <w:keepLines/>
              <w:spacing w:before="0" w:after="0" w:line="240" w:lineRule="auto"/>
              <w:jc w:val="left"/>
            </w:pPr>
            <w:r>
              <w:rPr>
                <w:rFonts w:ascii="Times New Roman" w:hAnsi="Times New Roman"/>
                <w:sz w:val="18"/>
              </w:rPr>
              <w:t>Sitni inventar i autogume</w:t>
            </w:r>
          </w:p>
        </w:tc>
        <w:tc>
          <w:tcPr>
            <w:tcMar>
              <w:top w:w="0" w:type="dxa"/>
              <w:bottom w:w="0" w:type="dxa"/>
            </w:tcMar>
            <w:vAlign w:val="center"/>
          </w:tcPr>
          <w:p w14:paraId="1CDE8173">
            <w:pPr>
              <w:keepNext/>
              <w:keepLines/>
              <w:spacing w:before="0" w:after="0" w:line="240" w:lineRule="auto"/>
              <w:jc w:val="left"/>
            </w:pPr>
            <w:r>
              <w:rPr>
                <w:rFonts w:ascii="Times New Roman" w:hAnsi="Times New Roman"/>
                <w:sz w:val="18"/>
              </w:rPr>
              <w:t>3225</w:t>
            </w:r>
          </w:p>
        </w:tc>
        <w:tc>
          <w:tcPr>
            <w:tcMar>
              <w:top w:w="0" w:type="dxa"/>
              <w:bottom w:w="0" w:type="dxa"/>
            </w:tcMar>
            <w:vAlign w:val="center"/>
          </w:tcPr>
          <w:p w14:paraId="417F1DF8">
            <w:pPr>
              <w:keepNext/>
              <w:keepLines/>
              <w:spacing w:before="0" w:after="0" w:line="240" w:lineRule="auto"/>
              <w:jc w:val="right"/>
            </w:pPr>
            <w:r>
              <w:rPr>
                <w:rFonts w:ascii="Times New Roman" w:hAnsi="Times New Roman"/>
                <w:sz w:val="18"/>
              </w:rPr>
              <w:t>440,00</w:t>
            </w:r>
          </w:p>
        </w:tc>
        <w:tc>
          <w:tcPr>
            <w:tcMar>
              <w:top w:w="0" w:type="dxa"/>
              <w:bottom w:w="0" w:type="dxa"/>
            </w:tcMar>
            <w:vAlign w:val="center"/>
          </w:tcPr>
          <w:p w14:paraId="4A1854A7">
            <w:pPr>
              <w:keepNext/>
              <w:keepLines/>
              <w:spacing w:before="0" w:after="0" w:line="240" w:lineRule="auto"/>
              <w:jc w:val="right"/>
            </w:pPr>
            <w:r>
              <w:rPr>
                <w:rFonts w:ascii="Times New Roman" w:hAnsi="Times New Roman"/>
                <w:sz w:val="18"/>
              </w:rPr>
              <w:t>2.451,61</w:t>
            </w:r>
          </w:p>
        </w:tc>
        <w:tc>
          <w:tcPr>
            <w:tcMar>
              <w:top w:w="0" w:type="dxa"/>
              <w:bottom w:w="0" w:type="dxa"/>
            </w:tcMar>
            <w:vAlign w:val="center"/>
          </w:tcPr>
          <w:p w14:paraId="5311FDB9">
            <w:pPr>
              <w:keepNext/>
              <w:keepLines/>
              <w:spacing w:before="0" w:after="0" w:line="240" w:lineRule="auto"/>
              <w:jc w:val="right"/>
            </w:pPr>
            <w:r>
              <w:rPr>
                <w:rFonts w:ascii="Times New Roman" w:hAnsi="Times New Roman"/>
                <w:sz w:val="18"/>
              </w:rPr>
              <w:t>557,2</w:t>
            </w:r>
          </w:p>
        </w:tc>
      </w:tr>
    </w:tbl>
    <w:p w14:paraId="0FD16B44">
      <w:pPr>
        <w:spacing w:before="0" w:after="0"/>
      </w:pPr>
    </w:p>
    <w:p w14:paraId="0A540A0B">
      <w:r>
        <w:t>Do povećanja je došlo zbog nabavke više sitnog inventara nego prošle godine.</w:t>
      </w:r>
    </w:p>
    <w:p w14:paraId="7DCF752B"/>
    <w:p w14:paraId="541AFA0A">
      <w:pPr>
        <w:keepNext/>
        <w:spacing w:line="240" w:lineRule="auto"/>
        <w:jc w:val="center"/>
      </w:pPr>
      <w:r>
        <w:rPr>
          <w:rFonts w:ascii="Times New Roman" w:hAnsi="Times New Roman"/>
          <w:sz w:val="28"/>
        </w:rPr>
        <w:t>Bilješka 13.</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0CC5AD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2F5609A1">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1D7CAB5">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1950DFE4">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AC94338">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29958D75">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7F4DE299">
            <w:pPr>
              <w:keepNext/>
              <w:keepLines/>
              <w:spacing w:before="0" w:after="0" w:line="240" w:lineRule="auto"/>
              <w:jc w:val="center"/>
            </w:pPr>
            <w:r>
              <w:rPr>
                <w:rFonts w:ascii="Times New Roman" w:hAnsi="Times New Roman"/>
                <w:b/>
                <w:sz w:val="18"/>
              </w:rPr>
              <w:t>Indeks (%)</w:t>
            </w:r>
          </w:p>
        </w:tc>
      </w:tr>
      <w:tr w14:paraId="7B8EF032">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0ADCB84">
            <w:pPr>
              <w:keepNext/>
              <w:keepLines/>
              <w:spacing w:before="0" w:after="0" w:line="240" w:lineRule="auto"/>
              <w:jc w:val="left"/>
            </w:pPr>
            <w:r>
              <w:rPr>
                <w:rFonts w:ascii="Times New Roman" w:hAnsi="Times New Roman"/>
                <w:sz w:val="18"/>
              </w:rPr>
              <w:t>323</w:t>
            </w:r>
          </w:p>
        </w:tc>
        <w:tc>
          <w:tcPr>
            <w:tcMar>
              <w:top w:w="0" w:type="dxa"/>
              <w:bottom w:w="0" w:type="dxa"/>
            </w:tcMar>
            <w:vAlign w:val="center"/>
          </w:tcPr>
          <w:p w14:paraId="048B38A1">
            <w:pPr>
              <w:keepNext/>
              <w:keepLines/>
              <w:spacing w:before="0" w:after="0" w:line="240" w:lineRule="auto"/>
              <w:jc w:val="left"/>
            </w:pPr>
            <w:r>
              <w:rPr>
                <w:rFonts w:ascii="Times New Roman" w:hAnsi="Times New Roman"/>
                <w:sz w:val="18"/>
              </w:rPr>
              <w:t>Rashodi za usluge (šifre 3231 do 3239)</w:t>
            </w:r>
          </w:p>
        </w:tc>
        <w:tc>
          <w:tcPr>
            <w:tcMar>
              <w:top w:w="0" w:type="dxa"/>
              <w:bottom w:w="0" w:type="dxa"/>
            </w:tcMar>
            <w:vAlign w:val="center"/>
          </w:tcPr>
          <w:p w14:paraId="317140F3">
            <w:pPr>
              <w:keepNext/>
              <w:keepLines/>
              <w:spacing w:before="0" w:after="0" w:line="240" w:lineRule="auto"/>
              <w:jc w:val="left"/>
            </w:pPr>
            <w:r>
              <w:rPr>
                <w:rFonts w:ascii="Times New Roman" w:hAnsi="Times New Roman"/>
                <w:sz w:val="18"/>
              </w:rPr>
              <w:t>323</w:t>
            </w:r>
          </w:p>
        </w:tc>
        <w:tc>
          <w:tcPr>
            <w:tcMar>
              <w:top w:w="0" w:type="dxa"/>
              <w:bottom w:w="0" w:type="dxa"/>
            </w:tcMar>
            <w:vAlign w:val="center"/>
          </w:tcPr>
          <w:p w14:paraId="26A7A9F0">
            <w:pPr>
              <w:keepNext/>
              <w:keepLines/>
              <w:spacing w:before="0" w:after="0" w:line="240" w:lineRule="auto"/>
              <w:jc w:val="right"/>
            </w:pPr>
            <w:r>
              <w:rPr>
                <w:rFonts w:ascii="Times New Roman" w:hAnsi="Times New Roman"/>
                <w:sz w:val="18"/>
              </w:rPr>
              <w:t>17.104,64</w:t>
            </w:r>
          </w:p>
        </w:tc>
        <w:tc>
          <w:tcPr>
            <w:tcMar>
              <w:top w:w="0" w:type="dxa"/>
              <w:bottom w:w="0" w:type="dxa"/>
            </w:tcMar>
            <w:vAlign w:val="center"/>
          </w:tcPr>
          <w:p w14:paraId="2D1A0010">
            <w:pPr>
              <w:keepNext/>
              <w:keepLines/>
              <w:spacing w:before="0" w:after="0" w:line="240" w:lineRule="auto"/>
              <w:jc w:val="right"/>
            </w:pPr>
            <w:r>
              <w:rPr>
                <w:rFonts w:ascii="Times New Roman" w:hAnsi="Times New Roman"/>
                <w:sz w:val="18"/>
              </w:rPr>
              <w:t>24.186,39</w:t>
            </w:r>
          </w:p>
        </w:tc>
        <w:tc>
          <w:tcPr>
            <w:tcMar>
              <w:top w:w="0" w:type="dxa"/>
              <w:bottom w:w="0" w:type="dxa"/>
            </w:tcMar>
            <w:vAlign w:val="center"/>
          </w:tcPr>
          <w:p w14:paraId="7825403F">
            <w:pPr>
              <w:keepNext/>
              <w:keepLines/>
              <w:spacing w:before="0" w:after="0" w:line="240" w:lineRule="auto"/>
              <w:jc w:val="right"/>
            </w:pPr>
            <w:r>
              <w:rPr>
                <w:rFonts w:ascii="Times New Roman" w:hAnsi="Times New Roman"/>
                <w:sz w:val="18"/>
              </w:rPr>
              <w:t>141,4</w:t>
            </w:r>
          </w:p>
        </w:tc>
      </w:tr>
    </w:tbl>
    <w:p w14:paraId="66A0EB71">
      <w:pPr>
        <w:spacing w:before="0" w:after="0"/>
      </w:pPr>
    </w:p>
    <w:p w14:paraId="452B3525">
      <w:r>
        <w:t>Do povećanja je došlo zbog već spomenutog investicijskog održavanja - zamjena vrata na učionicama.</w:t>
      </w:r>
    </w:p>
    <w:p w14:paraId="535CB54F"/>
    <w:p w14:paraId="415B6985">
      <w:pPr>
        <w:keepNext/>
        <w:spacing w:line="240" w:lineRule="auto"/>
        <w:jc w:val="center"/>
      </w:pPr>
      <w:r>
        <w:rPr>
          <w:rFonts w:ascii="Times New Roman" w:hAnsi="Times New Roman"/>
          <w:sz w:val="28"/>
        </w:rPr>
        <w:t>Bilješka 14.</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16B8A11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DE9D796">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46343EE">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0C95B28">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0CC5144C">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698A0E79">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566F239A">
            <w:pPr>
              <w:keepNext/>
              <w:keepLines/>
              <w:spacing w:before="0" w:after="0" w:line="240" w:lineRule="auto"/>
              <w:jc w:val="center"/>
            </w:pPr>
            <w:r>
              <w:rPr>
                <w:rFonts w:ascii="Times New Roman" w:hAnsi="Times New Roman"/>
                <w:b/>
                <w:sz w:val="18"/>
              </w:rPr>
              <w:t>Indeks (%)</w:t>
            </w:r>
          </w:p>
        </w:tc>
      </w:tr>
      <w:tr w14:paraId="6B0921C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1282C6CF">
            <w:pPr>
              <w:keepNext/>
              <w:keepLines/>
              <w:spacing w:before="0" w:after="0" w:line="240" w:lineRule="auto"/>
              <w:jc w:val="left"/>
            </w:pPr>
            <w:r>
              <w:rPr>
                <w:rFonts w:ascii="Times New Roman" w:hAnsi="Times New Roman"/>
                <w:sz w:val="18"/>
              </w:rPr>
              <w:t>3232</w:t>
            </w:r>
          </w:p>
        </w:tc>
        <w:tc>
          <w:tcPr>
            <w:tcMar>
              <w:top w:w="0" w:type="dxa"/>
              <w:bottom w:w="0" w:type="dxa"/>
            </w:tcMar>
            <w:vAlign w:val="center"/>
          </w:tcPr>
          <w:p w14:paraId="2816409C">
            <w:pPr>
              <w:keepNext/>
              <w:keepLines/>
              <w:spacing w:before="0" w:after="0" w:line="240" w:lineRule="auto"/>
              <w:jc w:val="left"/>
            </w:pPr>
            <w:r>
              <w:rPr>
                <w:rFonts w:ascii="Times New Roman" w:hAnsi="Times New Roman"/>
                <w:sz w:val="18"/>
              </w:rPr>
              <w:t>Usluge tekućeg i investicijskog održavanja</w:t>
            </w:r>
          </w:p>
        </w:tc>
        <w:tc>
          <w:tcPr>
            <w:tcMar>
              <w:top w:w="0" w:type="dxa"/>
              <w:bottom w:w="0" w:type="dxa"/>
            </w:tcMar>
            <w:vAlign w:val="center"/>
          </w:tcPr>
          <w:p w14:paraId="59389934">
            <w:pPr>
              <w:keepNext/>
              <w:keepLines/>
              <w:spacing w:before="0" w:after="0" w:line="240" w:lineRule="auto"/>
              <w:jc w:val="left"/>
            </w:pPr>
            <w:r>
              <w:rPr>
                <w:rFonts w:ascii="Times New Roman" w:hAnsi="Times New Roman"/>
                <w:sz w:val="18"/>
              </w:rPr>
              <w:t>3232</w:t>
            </w:r>
          </w:p>
        </w:tc>
        <w:tc>
          <w:tcPr>
            <w:tcMar>
              <w:top w:w="0" w:type="dxa"/>
              <w:bottom w:w="0" w:type="dxa"/>
            </w:tcMar>
            <w:vAlign w:val="center"/>
          </w:tcPr>
          <w:p w14:paraId="36BA5489">
            <w:pPr>
              <w:keepNext/>
              <w:keepLines/>
              <w:spacing w:before="0" w:after="0" w:line="240" w:lineRule="auto"/>
              <w:jc w:val="right"/>
            </w:pPr>
            <w:r>
              <w:rPr>
                <w:rFonts w:ascii="Times New Roman" w:hAnsi="Times New Roman"/>
                <w:sz w:val="18"/>
              </w:rPr>
              <w:t>5.823,22</w:t>
            </w:r>
          </w:p>
        </w:tc>
        <w:tc>
          <w:tcPr>
            <w:tcMar>
              <w:top w:w="0" w:type="dxa"/>
              <w:bottom w:w="0" w:type="dxa"/>
            </w:tcMar>
            <w:vAlign w:val="center"/>
          </w:tcPr>
          <w:p w14:paraId="62C90E3E">
            <w:pPr>
              <w:keepNext/>
              <w:keepLines/>
              <w:spacing w:before="0" w:after="0" w:line="240" w:lineRule="auto"/>
              <w:jc w:val="right"/>
            </w:pPr>
            <w:r>
              <w:rPr>
                <w:rFonts w:ascii="Times New Roman" w:hAnsi="Times New Roman"/>
                <w:sz w:val="18"/>
              </w:rPr>
              <w:t>11.491,89</w:t>
            </w:r>
          </w:p>
        </w:tc>
        <w:tc>
          <w:tcPr>
            <w:tcMar>
              <w:top w:w="0" w:type="dxa"/>
              <w:bottom w:w="0" w:type="dxa"/>
            </w:tcMar>
            <w:vAlign w:val="center"/>
          </w:tcPr>
          <w:p w14:paraId="724E3277">
            <w:pPr>
              <w:keepNext/>
              <w:keepLines/>
              <w:spacing w:before="0" w:after="0" w:line="240" w:lineRule="auto"/>
              <w:jc w:val="right"/>
            </w:pPr>
            <w:r>
              <w:rPr>
                <w:rFonts w:ascii="Times New Roman" w:hAnsi="Times New Roman"/>
                <w:sz w:val="18"/>
              </w:rPr>
              <w:t>197,3</w:t>
            </w:r>
          </w:p>
        </w:tc>
      </w:tr>
    </w:tbl>
    <w:p w14:paraId="661BF22A">
      <w:pPr>
        <w:spacing w:before="0" w:after="0"/>
      </w:pPr>
    </w:p>
    <w:p w14:paraId="0E6E5D49">
      <w:r>
        <w:t>Do povećanja je došlo zbog već spomenutog investicijskog održavanja - zamjena vrata na učionicama.</w:t>
      </w:r>
    </w:p>
    <w:p w14:paraId="35CBC809"/>
    <w:p w14:paraId="4FD43CF5">
      <w:pPr>
        <w:keepNext/>
        <w:spacing w:line="240" w:lineRule="auto"/>
        <w:jc w:val="center"/>
      </w:pPr>
      <w:r>
        <w:rPr>
          <w:rFonts w:ascii="Times New Roman" w:hAnsi="Times New Roman"/>
          <w:sz w:val="28"/>
        </w:rPr>
        <w:t>Bilješka 15.</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6A6FF510">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04828C2">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1E53C8B6">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49EFC23">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353B6982">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ED169D6">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2093520D">
            <w:pPr>
              <w:keepNext/>
              <w:keepLines/>
              <w:spacing w:before="0" w:after="0" w:line="240" w:lineRule="auto"/>
              <w:jc w:val="center"/>
            </w:pPr>
            <w:r>
              <w:rPr>
                <w:rFonts w:ascii="Times New Roman" w:hAnsi="Times New Roman"/>
                <w:b/>
                <w:sz w:val="18"/>
              </w:rPr>
              <w:t>Indeks (%)</w:t>
            </w:r>
          </w:p>
        </w:tc>
      </w:tr>
      <w:tr w14:paraId="163AC236">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A0A1CA2">
            <w:pPr>
              <w:keepNext/>
              <w:keepLines/>
              <w:spacing w:before="0" w:after="0" w:line="240" w:lineRule="auto"/>
              <w:jc w:val="left"/>
            </w:pPr>
            <w:r>
              <w:rPr>
                <w:rFonts w:ascii="Times New Roman" w:hAnsi="Times New Roman"/>
                <w:sz w:val="18"/>
              </w:rPr>
              <w:t>3292</w:t>
            </w:r>
          </w:p>
        </w:tc>
        <w:tc>
          <w:tcPr>
            <w:tcMar>
              <w:top w:w="0" w:type="dxa"/>
              <w:bottom w:w="0" w:type="dxa"/>
            </w:tcMar>
            <w:vAlign w:val="center"/>
          </w:tcPr>
          <w:p w14:paraId="09BAFD7B">
            <w:pPr>
              <w:keepNext/>
              <w:keepLines/>
              <w:spacing w:before="0" w:after="0" w:line="240" w:lineRule="auto"/>
              <w:jc w:val="left"/>
            </w:pPr>
            <w:r>
              <w:rPr>
                <w:rFonts w:ascii="Times New Roman" w:hAnsi="Times New Roman"/>
                <w:sz w:val="18"/>
              </w:rPr>
              <w:t>Premije osiguranja</w:t>
            </w:r>
          </w:p>
        </w:tc>
        <w:tc>
          <w:tcPr>
            <w:tcMar>
              <w:top w:w="0" w:type="dxa"/>
              <w:bottom w:w="0" w:type="dxa"/>
            </w:tcMar>
            <w:vAlign w:val="center"/>
          </w:tcPr>
          <w:p w14:paraId="0C58259D">
            <w:pPr>
              <w:keepNext/>
              <w:keepLines/>
              <w:spacing w:before="0" w:after="0" w:line="240" w:lineRule="auto"/>
              <w:jc w:val="left"/>
            </w:pPr>
            <w:r>
              <w:rPr>
                <w:rFonts w:ascii="Times New Roman" w:hAnsi="Times New Roman"/>
                <w:sz w:val="18"/>
              </w:rPr>
              <w:t>3292</w:t>
            </w:r>
          </w:p>
        </w:tc>
        <w:tc>
          <w:tcPr>
            <w:tcMar>
              <w:top w:w="0" w:type="dxa"/>
              <w:bottom w:w="0" w:type="dxa"/>
            </w:tcMar>
            <w:vAlign w:val="center"/>
          </w:tcPr>
          <w:p w14:paraId="67E969B6">
            <w:pPr>
              <w:keepNext/>
              <w:keepLines/>
              <w:spacing w:before="0" w:after="0" w:line="240" w:lineRule="auto"/>
              <w:jc w:val="right"/>
            </w:pPr>
            <w:r>
              <w:rPr>
                <w:rFonts w:ascii="Times New Roman" w:hAnsi="Times New Roman"/>
                <w:sz w:val="18"/>
              </w:rPr>
              <w:t>951,92</w:t>
            </w:r>
          </w:p>
        </w:tc>
        <w:tc>
          <w:tcPr>
            <w:tcMar>
              <w:top w:w="0" w:type="dxa"/>
              <w:bottom w:w="0" w:type="dxa"/>
            </w:tcMar>
            <w:vAlign w:val="center"/>
          </w:tcPr>
          <w:p w14:paraId="6DB5D70F">
            <w:pPr>
              <w:keepNext/>
              <w:keepLines/>
              <w:spacing w:before="0" w:after="0" w:line="240" w:lineRule="auto"/>
              <w:jc w:val="right"/>
            </w:pPr>
            <w:r>
              <w:rPr>
                <w:rFonts w:ascii="Times New Roman" w:hAnsi="Times New Roman"/>
                <w:sz w:val="18"/>
              </w:rPr>
              <w:t>1.773,07</w:t>
            </w:r>
          </w:p>
        </w:tc>
        <w:tc>
          <w:tcPr>
            <w:tcMar>
              <w:top w:w="0" w:type="dxa"/>
              <w:bottom w:w="0" w:type="dxa"/>
            </w:tcMar>
            <w:vAlign w:val="center"/>
          </w:tcPr>
          <w:p w14:paraId="4F0A1BEC">
            <w:pPr>
              <w:keepNext/>
              <w:keepLines/>
              <w:spacing w:before="0" w:after="0" w:line="240" w:lineRule="auto"/>
              <w:jc w:val="right"/>
            </w:pPr>
            <w:r>
              <w:rPr>
                <w:rFonts w:ascii="Times New Roman" w:hAnsi="Times New Roman"/>
                <w:sz w:val="18"/>
              </w:rPr>
              <w:t>186,3</w:t>
            </w:r>
          </w:p>
        </w:tc>
      </w:tr>
    </w:tbl>
    <w:p w14:paraId="5B478BD2">
      <w:pPr>
        <w:spacing w:before="0" w:after="0"/>
      </w:pPr>
    </w:p>
    <w:p w14:paraId="5529DB2B">
      <w:r>
        <w:t>Do povećanja je došlo zbog nabave novog kombija za kojeg je cijena autoosiguranja i kasko osiguranja bila veća.</w:t>
      </w:r>
    </w:p>
    <w:p w14:paraId="3FE6ECA3"/>
    <w:p w14:paraId="5A4C6443">
      <w:pPr>
        <w:keepNext/>
        <w:spacing w:line="240" w:lineRule="auto"/>
        <w:jc w:val="center"/>
      </w:pPr>
      <w:r>
        <w:rPr>
          <w:rFonts w:ascii="Times New Roman" w:hAnsi="Times New Roman"/>
          <w:sz w:val="28"/>
        </w:rPr>
        <w:t>Bilješka 16.</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F19A9B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D4F8DC2">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2A52E61">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72DBFF10">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674B1C8">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1EB68E4A">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7A03EBB">
            <w:pPr>
              <w:keepNext/>
              <w:keepLines/>
              <w:spacing w:before="0" w:after="0" w:line="240" w:lineRule="auto"/>
              <w:jc w:val="center"/>
            </w:pPr>
            <w:r>
              <w:rPr>
                <w:rFonts w:ascii="Times New Roman" w:hAnsi="Times New Roman"/>
                <w:b/>
                <w:sz w:val="18"/>
              </w:rPr>
              <w:t>Indeks (%)</w:t>
            </w:r>
          </w:p>
        </w:tc>
      </w:tr>
      <w:tr w14:paraId="118CD59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336933D1">
            <w:pPr>
              <w:keepNext/>
              <w:keepLines/>
              <w:spacing w:before="0" w:after="0" w:line="240" w:lineRule="auto"/>
              <w:jc w:val="left"/>
            </w:pPr>
            <w:r>
              <w:rPr>
                <w:rFonts w:ascii="Times New Roman" w:hAnsi="Times New Roman"/>
                <w:sz w:val="18"/>
              </w:rPr>
              <w:t>3722</w:t>
            </w:r>
          </w:p>
        </w:tc>
        <w:tc>
          <w:tcPr>
            <w:tcMar>
              <w:top w:w="0" w:type="dxa"/>
              <w:bottom w:w="0" w:type="dxa"/>
            </w:tcMar>
            <w:vAlign w:val="center"/>
          </w:tcPr>
          <w:p w14:paraId="3FE27114">
            <w:pPr>
              <w:keepNext/>
              <w:keepLines/>
              <w:spacing w:before="0" w:after="0" w:line="240" w:lineRule="auto"/>
              <w:jc w:val="left"/>
            </w:pPr>
            <w:r>
              <w:rPr>
                <w:rFonts w:ascii="Times New Roman" w:hAnsi="Times New Roman"/>
                <w:sz w:val="18"/>
              </w:rPr>
              <w:t>Naknade građanima i kućanstvima u naravi</w:t>
            </w:r>
          </w:p>
        </w:tc>
        <w:tc>
          <w:tcPr>
            <w:tcMar>
              <w:top w:w="0" w:type="dxa"/>
              <w:bottom w:w="0" w:type="dxa"/>
            </w:tcMar>
            <w:vAlign w:val="center"/>
          </w:tcPr>
          <w:p w14:paraId="0E041C13">
            <w:pPr>
              <w:keepNext/>
              <w:keepLines/>
              <w:spacing w:before="0" w:after="0" w:line="240" w:lineRule="auto"/>
              <w:jc w:val="left"/>
            </w:pPr>
            <w:r>
              <w:rPr>
                <w:rFonts w:ascii="Times New Roman" w:hAnsi="Times New Roman"/>
                <w:sz w:val="18"/>
              </w:rPr>
              <w:t>3722</w:t>
            </w:r>
          </w:p>
        </w:tc>
        <w:tc>
          <w:tcPr>
            <w:tcMar>
              <w:top w:w="0" w:type="dxa"/>
              <w:bottom w:w="0" w:type="dxa"/>
            </w:tcMar>
            <w:vAlign w:val="center"/>
          </w:tcPr>
          <w:p w14:paraId="3044BB47">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0492427B">
            <w:pPr>
              <w:keepNext/>
              <w:keepLines/>
              <w:spacing w:before="0" w:after="0" w:line="240" w:lineRule="auto"/>
              <w:jc w:val="right"/>
            </w:pPr>
            <w:r>
              <w:rPr>
                <w:rFonts w:ascii="Times New Roman" w:hAnsi="Times New Roman"/>
                <w:sz w:val="18"/>
              </w:rPr>
              <w:t>1.445,93</w:t>
            </w:r>
          </w:p>
        </w:tc>
        <w:tc>
          <w:tcPr>
            <w:tcMar>
              <w:top w:w="0" w:type="dxa"/>
              <w:bottom w:w="0" w:type="dxa"/>
            </w:tcMar>
            <w:vAlign w:val="center"/>
          </w:tcPr>
          <w:p w14:paraId="5FD74258">
            <w:pPr>
              <w:keepNext/>
              <w:keepLines/>
              <w:spacing w:before="0" w:after="0" w:line="240" w:lineRule="auto"/>
              <w:jc w:val="right"/>
            </w:pPr>
            <w:r>
              <w:rPr>
                <w:rFonts w:ascii="Times New Roman" w:hAnsi="Times New Roman"/>
                <w:sz w:val="18"/>
              </w:rPr>
              <w:t>-</w:t>
            </w:r>
          </w:p>
        </w:tc>
      </w:tr>
    </w:tbl>
    <w:p w14:paraId="7A57010C">
      <w:pPr>
        <w:spacing w:before="0" w:after="0"/>
      </w:pPr>
    </w:p>
    <w:p w14:paraId="47143521">
      <w:r>
        <w:t>Do povećanja je došlo zbog nabavke već spomenutih radnih udžebnika.</w:t>
      </w:r>
    </w:p>
    <w:p w14:paraId="2DC5BE37"/>
    <w:p w14:paraId="0CB4669F">
      <w:pPr>
        <w:keepNext/>
        <w:spacing w:line="240" w:lineRule="auto"/>
        <w:jc w:val="center"/>
      </w:pPr>
      <w:r>
        <w:rPr>
          <w:rFonts w:ascii="Times New Roman" w:hAnsi="Times New Roman"/>
          <w:sz w:val="28"/>
        </w:rPr>
        <w:t>Bilješka 17.</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47246FD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06421815">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77ECC62">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20EC581">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B499123">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671490D8">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49D6ED9">
            <w:pPr>
              <w:keepNext/>
              <w:keepLines/>
              <w:spacing w:before="0" w:after="0" w:line="240" w:lineRule="auto"/>
              <w:jc w:val="center"/>
            </w:pPr>
            <w:r>
              <w:rPr>
                <w:rFonts w:ascii="Times New Roman" w:hAnsi="Times New Roman"/>
                <w:b/>
                <w:sz w:val="18"/>
              </w:rPr>
              <w:t>Indeks (%)</w:t>
            </w:r>
          </w:p>
        </w:tc>
      </w:tr>
      <w:tr w14:paraId="39DD0FB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FF71B30">
            <w:pPr>
              <w:keepNext/>
              <w:keepLines/>
              <w:spacing w:before="0" w:after="0" w:line="240" w:lineRule="auto"/>
              <w:jc w:val="left"/>
            </w:pPr>
            <w:r>
              <w:rPr>
                <w:rFonts w:ascii="Times New Roman" w:hAnsi="Times New Roman"/>
                <w:sz w:val="18"/>
              </w:rPr>
              <w:t>96</w:t>
            </w:r>
          </w:p>
        </w:tc>
        <w:tc>
          <w:tcPr>
            <w:tcMar>
              <w:top w:w="0" w:type="dxa"/>
              <w:bottom w:w="0" w:type="dxa"/>
            </w:tcMar>
            <w:vAlign w:val="center"/>
          </w:tcPr>
          <w:p w14:paraId="226066D2">
            <w:pPr>
              <w:keepNext/>
              <w:keepLines/>
              <w:spacing w:before="0" w:after="0" w:line="240" w:lineRule="auto"/>
              <w:jc w:val="left"/>
            </w:pPr>
            <w:r>
              <w:rPr>
                <w:rFonts w:ascii="Times New Roman" w:hAnsi="Times New Roman"/>
                <w:sz w:val="18"/>
              </w:rPr>
              <w:t>Obračunati prihodi poslovanja - nenaplaćeni</w:t>
            </w:r>
          </w:p>
        </w:tc>
        <w:tc>
          <w:tcPr>
            <w:tcMar>
              <w:top w:w="0" w:type="dxa"/>
              <w:bottom w:w="0" w:type="dxa"/>
            </w:tcMar>
            <w:vAlign w:val="center"/>
          </w:tcPr>
          <w:p w14:paraId="3149413A">
            <w:pPr>
              <w:keepNext/>
              <w:keepLines/>
              <w:spacing w:before="0" w:after="0" w:line="240" w:lineRule="auto"/>
              <w:jc w:val="left"/>
            </w:pPr>
            <w:r>
              <w:rPr>
                <w:rFonts w:ascii="Times New Roman" w:hAnsi="Times New Roman"/>
                <w:sz w:val="18"/>
              </w:rPr>
              <w:t>96</w:t>
            </w:r>
          </w:p>
        </w:tc>
        <w:tc>
          <w:tcPr>
            <w:tcMar>
              <w:top w:w="0" w:type="dxa"/>
              <w:bottom w:w="0" w:type="dxa"/>
            </w:tcMar>
            <w:vAlign w:val="center"/>
          </w:tcPr>
          <w:p w14:paraId="1F527B45">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62D4640A">
            <w:pPr>
              <w:keepNext/>
              <w:keepLines/>
              <w:spacing w:before="0" w:after="0" w:line="240" w:lineRule="auto"/>
              <w:jc w:val="right"/>
            </w:pPr>
            <w:r>
              <w:rPr>
                <w:rFonts w:ascii="Times New Roman" w:hAnsi="Times New Roman"/>
                <w:sz w:val="18"/>
              </w:rPr>
              <w:t>53.594,72</w:t>
            </w:r>
          </w:p>
        </w:tc>
        <w:tc>
          <w:tcPr>
            <w:tcMar>
              <w:top w:w="0" w:type="dxa"/>
              <w:bottom w:w="0" w:type="dxa"/>
            </w:tcMar>
            <w:vAlign w:val="center"/>
          </w:tcPr>
          <w:p w14:paraId="34157030">
            <w:pPr>
              <w:keepNext/>
              <w:keepLines/>
              <w:spacing w:before="0" w:after="0" w:line="240" w:lineRule="auto"/>
              <w:jc w:val="right"/>
            </w:pPr>
            <w:r>
              <w:rPr>
                <w:rFonts w:ascii="Times New Roman" w:hAnsi="Times New Roman"/>
                <w:sz w:val="18"/>
              </w:rPr>
              <w:t>-</w:t>
            </w:r>
          </w:p>
        </w:tc>
      </w:tr>
    </w:tbl>
    <w:p w14:paraId="605A078F">
      <w:pPr>
        <w:spacing w:before="0" w:after="0"/>
      </w:pPr>
    </w:p>
    <w:p w14:paraId="2C6E9B71">
      <w:r>
        <w:t>Sukladno novom Pravilniku ukinuti su dosadašnji kontinuirani troškovi te se sada knjiže potraživanja za obračunate plaće i ostale troškove koji su knjiženi po načelu nastanka.   </w:t>
      </w:r>
    </w:p>
    <w:p w14:paraId="1D3E2AB0"/>
    <w:p w14:paraId="6F9E9395">
      <w:pPr>
        <w:keepNext/>
        <w:spacing w:line="240" w:lineRule="auto"/>
        <w:jc w:val="center"/>
      </w:pPr>
      <w:r>
        <w:rPr>
          <w:rFonts w:ascii="Times New Roman" w:hAnsi="Times New Roman"/>
          <w:sz w:val="28"/>
        </w:rPr>
        <w:t>Bilješka 18.</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326A7E0C">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620A56D8">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DE08D12">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2ADBD69">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61E66126">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2E00CD1">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02863FF7">
            <w:pPr>
              <w:keepNext/>
              <w:keepLines/>
              <w:spacing w:before="0" w:after="0" w:line="240" w:lineRule="auto"/>
              <w:jc w:val="center"/>
            </w:pPr>
            <w:r>
              <w:rPr>
                <w:rFonts w:ascii="Times New Roman" w:hAnsi="Times New Roman"/>
                <w:b/>
                <w:sz w:val="18"/>
              </w:rPr>
              <w:t>Indeks (%)</w:t>
            </w:r>
          </w:p>
        </w:tc>
      </w:tr>
      <w:tr w14:paraId="2DB8D805">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E849708">
            <w:pPr>
              <w:keepNext/>
              <w:keepLines/>
              <w:spacing w:before="0" w:after="0" w:line="240" w:lineRule="auto"/>
              <w:jc w:val="left"/>
            </w:pPr>
            <w:r>
              <w:rPr>
                <w:rFonts w:ascii="Times New Roman" w:hAnsi="Times New Roman"/>
                <w:sz w:val="18"/>
              </w:rPr>
              <w:t>4</w:t>
            </w:r>
          </w:p>
        </w:tc>
        <w:tc>
          <w:tcPr>
            <w:tcMar>
              <w:top w:w="0" w:type="dxa"/>
              <w:bottom w:w="0" w:type="dxa"/>
            </w:tcMar>
            <w:vAlign w:val="center"/>
          </w:tcPr>
          <w:p w14:paraId="51387F9F">
            <w:pPr>
              <w:keepNext/>
              <w:keepLines/>
              <w:spacing w:before="0" w:after="0" w:line="240" w:lineRule="auto"/>
              <w:jc w:val="left"/>
            </w:pPr>
            <w:r>
              <w:rPr>
                <w:rFonts w:ascii="Times New Roman" w:hAnsi="Times New Roman"/>
                <w:sz w:val="18"/>
              </w:rPr>
              <w:t>Rashodi za nabavu nefinancijske imovine (šifre 41+42+43+44+45)</w:t>
            </w:r>
          </w:p>
        </w:tc>
        <w:tc>
          <w:tcPr>
            <w:tcMar>
              <w:top w:w="0" w:type="dxa"/>
              <w:bottom w:w="0" w:type="dxa"/>
            </w:tcMar>
            <w:vAlign w:val="center"/>
          </w:tcPr>
          <w:p w14:paraId="4ECE2C79">
            <w:pPr>
              <w:keepNext/>
              <w:keepLines/>
              <w:spacing w:before="0" w:after="0" w:line="240" w:lineRule="auto"/>
              <w:jc w:val="left"/>
            </w:pPr>
            <w:r>
              <w:rPr>
                <w:rFonts w:ascii="Times New Roman" w:hAnsi="Times New Roman"/>
                <w:sz w:val="18"/>
              </w:rPr>
              <w:t>4</w:t>
            </w:r>
          </w:p>
        </w:tc>
        <w:tc>
          <w:tcPr>
            <w:tcMar>
              <w:top w:w="0" w:type="dxa"/>
              <w:bottom w:w="0" w:type="dxa"/>
            </w:tcMar>
            <w:vAlign w:val="center"/>
          </w:tcPr>
          <w:p w14:paraId="28D8D55B">
            <w:pPr>
              <w:keepNext/>
              <w:keepLines/>
              <w:spacing w:before="0" w:after="0" w:line="240" w:lineRule="auto"/>
              <w:jc w:val="right"/>
            </w:pPr>
            <w:r>
              <w:rPr>
                <w:rFonts w:ascii="Times New Roman" w:hAnsi="Times New Roman"/>
                <w:sz w:val="18"/>
              </w:rPr>
              <w:t>44.181,84</w:t>
            </w:r>
          </w:p>
        </w:tc>
        <w:tc>
          <w:tcPr>
            <w:tcMar>
              <w:top w:w="0" w:type="dxa"/>
              <w:bottom w:w="0" w:type="dxa"/>
            </w:tcMar>
            <w:vAlign w:val="center"/>
          </w:tcPr>
          <w:p w14:paraId="1B9D3E0C">
            <w:pPr>
              <w:keepNext/>
              <w:keepLines/>
              <w:spacing w:before="0" w:after="0" w:line="240" w:lineRule="auto"/>
              <w:jc w:val="right"/>
            </w:pPr>
            <w:r>
              <w:rPr>
                <w:rFonts w:ascii="Times New Roman" w:hAnsi="Times New Roman"/>
                <w:sz w:val="18"/>
              </w:rPr>
              <w:t>2.441,17</w:t>
            </w:r>
          </w:p>
        </w:tc>
        <w:tc>
          <w:tcPr>
            <w:tcMar>
              <w:top w:w="0" w:type="dxa"/>
              <w:bottom w:w="0" w:type="dxa"/>
            </w:tcMar>
            <w:vAlign w:val="center"/>
          </w:tcPr>
          <w:p w14:paraId="4B1B1CA4">
            <w:pPr>
              <w:keepNext/>
              <w:keepLines/>
              <w:spacing w:before="0" w:after="0" w:line="240" w:lineRule="auto"/>
              <w:jc w:val="right"/>
            </w:pPr>
            <w:r>
              <w:rPr>
                <w:rFonts w:ascii="Times New Roman" w:hAnsi="Times New Roman"/>
                <w:sz w:val="18"/>
              </w:rPr>
              <w:t>5,5</w:t>
            </w:r>
          </w:p>
        </w:tc>
      </w:tr>
    </w:tbl>
    <w:p w14:paraId="1C785C8A">
      <w:pPr>
        <w:spacing w:before="0" w:after="0"/>
      </w:pPr>
    </w:p>
    <w:p w14:paraId="241EE023">
      <w:r>
        <w:t>U sklopu projekta Podrška ka provedbi Cjelovite kurikularne reforme Škola za život, škola je tijekom prošlih godina i tijekom jeseni 2023. godine dobila na korištenje od Ministarstva znanosti obrazovanja mladih raznu opremu, koja je po Odluci MZOM-a dijelom stavljena u upotrebu tijekom 2023. godine, dijelom u siječnju 2024. godine i tako povećala vrijednost imovine. Zb og toga je u 2025. godini došlo do smanjenja rashoda za nabavu nefinancijske imovine.</w:t>
      </w:r>
    </w:p>
    <w:p w14:paraId="333E2154"/>
    <w:p w14:paraId="50D4CEEB">
      <w:pPr>
        <w:keepNext/>
        <w:spacing w:line="240" w:lineRule="auto"/>
        <w:jc w:val="center"/>
      </w:pPr>
      <w:r>
        <w:rPr>
          <w:rFonts w:ascii="Times New Roman" w:hAnsi="Times New Roman"/>
          <w:sz w:val="28"/>
        </w:rPr>
        <w:t>Bilješka 19.</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3B60CC02">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6663695">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B113126">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2ED286CF">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A119C9A">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7E0C61EC">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6EBC865A">
            <w:pPr>
              <w:keepNext/>
              <w:keepLines/>
              <w:spacing w:before="0" w:after="0" w:line="240" w:lineRule="auto"/>
              <w:jc w:val="center"/>
            </w:pPr>
            <w:r>
              <w:rPr>
                <w:rFonts w:ascii="Times New Roman" w:hAnsi="Times New Roman"/>
                <w:b/>
                <w:sz w:val="18"/>
              </w:rPr>
              <w:t>Indeks (%)</w:t>
            </w:r>
          </w:p>
        </w:tc>
      </w:tr>
      <w:tr w14:paraId="13BC6B9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8420B9F">
            <w:pPr>
              <w:keepNext/>
              <w:keepLines/>
              <w:spacing w:before="0" w:after="0" w:line="240" w:lineRule="auto"/>
              <w:jc w:val="left"/>
            </w:pPr>
            <w:r>
              <w:rPr>
                <w:rFonts w:ascii="Times New Roman" w:hAnsi="Times New Roman"/>
                <w:sz w:val="18"/>
              </w:rPr>
              <w:t>42</w:t>
            </w:r>
          </w:p>
        </w:tc>
        <w:tc>
          <w:tcPr>
            <w:tcMar>
              <w:top w:w="0" w:type="dxa"/>
              <w:bottom w:w="0" w:type="dxa"/>
            </w:tcMar>
            <w:vAlign w:val="center"/>
          </w:tcPr>
          <w:p w14:paraId="22BB2D85">
            <w:pPr>
              <w:keepNext/>
              <w:keepLines/>
              <w:spacing w:before="0" w:after="0" w:line="240" w:lineRule="auto"/>
              <w:jc w:val="left"/>
            </w:pPr>
            <w:r>
              <w:rPr>
                <w:rFonts w:ascii="Times New Roman" w:hAnsi="Times New Roman"/>
                <w:sz w:val="18"/>
              </w:rPr>
              <w:t>Rashodi za nabavu proizvedene dugotrajne imovine (šifre 421+422+423+424+425+426)</w:t>
            </w:r>
          </w:p>
        </w:tc>
        <w:tc>
          <w:tcPr>
            <w:tcMar>
              <w:top w:w="0" w:type="dxa"/>
              <w:bottom w:w="0" w:type="dxa"/>
            </w:tcMar>
            <w:vAlign w:val="center"/>
          </w:tcPr>
          <w:p w14:paraId="38320A74">
            <w:pPr>
              <w:keepNext/>
              <w:keepLines/>
              <w:spacing w:before="0" w:after="0" w:line="240" w:lineRule="auto"/>
              <w:jc w:val="left"/>
            </w:pPr>
            <w:r>
              <w:rPr>
                <w:rFonts w:ascii="Times New Roman" w:hAnsi="Times New Roman"/>
                <w:sz w:val="18"/>
              </w:rPr>
              <w:t>42</w:t>
            </w:r>
          </w:p>
        </w:tc>
        <w:tc>
          <w:tcPr>
            <w:tcMar>
              <w:top w:w="0" w:type="dxa"/>
              <w:bottom w:w="0" w:type="dxa"/>
            </w:tcMar>
            <w:vAlign w:val="center"/>
          </w:tcPr>
          <w:p w14:paraId="007B52FA">
            <w:pPr>
              <w:keepNext/>
              <w:keepLines/>
              <w:spacing w:before="0" w:after="0" w:line="240" w:lineRule="auto"/>
              <w:jc w:val="right"/>
            </w:pPr>
            <w:r>
              <w:rPr>
                <w:rFonts w:ascii="Times New Roman" w:hAnsi="Times New Roman"/>
                <w:sz w:val="18"/>
              </w:rPr>
              <w:t>44.181,84</w:t>
            </w:r>
          </w:p>
        </w:tc>
        <w:tc>
          <w:tcPr>
            <w:tcMar>
              <w:top w:w="0" w:type="dxa"/>
              <w:bottom w:w="0" w:type="dxa"/>
            </w:tcMar>
            <w:vAlign w:val="center"/>
          </w:tcPr>
          <w:p w14:paraId="47B847E0">
            <w:pPr>
              <w:keepNext/>
              <w:keepLines/>
              <w:spacing w:before="0" w:after="0" w:line="240" w:lineRule="auto"/>
              <w:jc w:val="right"/>
            </w:pPr>
            <w:r>
              <w:rPr>
                <w:rFonts w:ascii="Times New Roman" w:hAnsi="Times New Roman"/>
                <w:sz w:val="18"/>
              </w:rPr>
              <w:t>2.441,17</w:t>
            </w:r>
          </w:p>
        </w:tc>
        <w:tc>
          <w:tcPr>
            <w:tcMar>
              <w:top w:w="0" w:type="dxa"/>
              <w:bottom w:w="0" w:type="dxa"/>
            </w:tcMar>
            <w:vAlign w:val="center"/>
          </w:tcPr>
          <w:p w14:paraId="2A56802E">
            <w:pPr>
              <w:keepNext/>
              <w:keepLines/>
              <w:spacing w:before="0" w:after="0" w:line="240" w:lineRule="auto"/>
              <w:jc w:val="right"/>
            </w:pPr>
            <w:r>
              <w:rPr>
                <w:rFonts w:ascii="Times New Roman" w:hAnsi="Times New Roman"/>
                <w:sz w:val="18"/>
              </w:rPr>
              <w:t>5,5</w:t>
            </w:r>
          </w:p>
        </w:tc>
      </w:tr>
    </w:tbl>
    <w:p w14:paraId="0B31323D">
      <w:pPr>
        <w:spacing w:before="0" w:after="0"/>
      </w:pPr>
    </w:p>
    <w:p w14:paraId="7D150679">
      <w:r>
        <w:t>Do umanjenja rashoda došlo je zbog toga jer je u 2024 godini nabavljen novi kombi.</w:t>
      </w:r>
    </w:p>
    <w:p w14:paraId="076D428B"/>
    <w:p w14:paraId="46B028EC">
      <w:pPr>
        <w:keepNext/>
        <w:spacing w:line="240" w:lineRule="auto"/>
        <w:jc w:val="center"/>
      </w:pPr>
      <w:r>
        <w:rPr>
          <w:rFonts w:ascii="Times New Roman" w:hAnsi="Times New Roman"/>
          <w:sz w:val="28"/>
        </w:rPr>
        <w:t>Bilješka 20.</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953DF0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C6D3BFA">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AF30832">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12CACFE">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3055501">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4859DB45">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A32B745">
            <w:pPr>
              <w:keepNext/>
              <w:keepLines/>
              <w:spacing w:before="0" w:after="0" w:line="240" w:lineRule="auto"/>
              <w:jc w:val="center"/>
            </w:pPr>
            <w:r>
              <w:rPr>
                <w:rFonts w:ascii="Times New Roman" w:hAnsi="Times New Roman"/>
                <w:b/>
                <w:sz w:val="18"/>
              </w:rPr>
              <w:t>Indeks (%)</w:t>
            </w:r>
          </w:p>
        </w:tc>
      </w:tr>
      <w:tr w14:paraId="3F4BEFB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0D02BA12">
            <w:pPr>
              <w:keepNext/>
              <w:keepLines/>
              <w:spacing w:before="0" w:after="0" w:line="240" w:lineRule="auto"/>
              <w:jc w:val="left"/>
            </w:pPr>
          </w:p>
        </w:tc>
        <w:tc>
          <w:tcPr>
            <w:tcMar>
              <w:top w:w="0" w:type="dxa"/>
              <w:bottom w:w="0" w:type="dxa"/>
            </w:tcMar>
            <w:vAlign w:val="center"/>
          </w:tcPr>
          <w:p w14:paraId="044A77CB">
            <w:pPr>
              <w:keepNext/>
              <w:keepLines/>
              <w:spacing w:before="0" w:after="0" w:line="240" w:lineRule="auto"/>
              <w:jc w:val="left"/>
            </w:pPr>
            <w:r>
              <w:rPr>
                <w:rFonts w:ascii="Times New Roman" w:hAnsi="Times New Roman"/>
                <w:sz w:val="18"/>
              </w:rPr>
              <w:t>UKUPAN MANJAK PRIHODA (šifre Y034-X067)</w:t>
            </w:r>
          </w:p>
        </w:tc>
        <w:tc>
          <w:tcPr>
            <w:tcMar>
              <w:top w:w="0" w:type="dxa"/>
              <w:bottom w:w="0" w:type="dxa"/>
            </w:tcMar>
            <w:vAlign w:val="center"/>
          </w:tcPr>
          <w:p w14:paraId="1956CFAB">
            <w:pPr>
              <w:keepNext/>
              <w:keepLines/>
              <w:spacing w:before="0" w:after="0" w:line="240" w:lineRule="auto"/>
              <w:jc w:val="left"/>
            </w:pPr>
            <w:r>
              <w:rPr>
                <w:rFonts w:ascii="Times New Roman" w:hAnsi="Times New Roman"/>
                <w:sz w:val="18"/>
              </w:rPr>
              <w:t>Y004</w:t>
            </w:r>
          </w:p>
        </w:tc>
        <w:tc>
          <w:tcPr>
            <w:tcMar>
              <w:top w:w="0" w:type="dxa"/>
              <w:bottom w:w="0" w:type="dxa"/>
            </w:tcMar>
            <w:vAlign w:val="center"/>
          </w:tcPr>
          <w:p w14:paraId="33DE9374">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739B6C3B">
            <w:pPr>
              <w:keepNext/>
              <w:keepLines/>
              <w:spacing w:before="0" w:after="0" w:line="240" w:lineRule="auto"/>
              <w:jc w:val="right"/>
            </w:pPr>
            <w:r>
              <w:rPr>
                <w:rFonts w:ascii="Times New Roman" w:hAnsi="Times New Roman"/>
                <w:sz w:val="18"/>
              </w:rPr>
              <w:t>58.146,59</w:t>
            </w:r>
          </w:p>
        </w:tc>
        <w:tc>
          <w:tcPr>
            <w:tcMar>
              <w:top w:w="0" w:type="dxa"/>
              <w:bottom w:w="0" w:type="dxa"/>
            </w:tcMar>
            <w:vAlign w:val="center"/>
          </w:tcPr>
          <w:p w14:paraId="004C4642">
            <w:pPr>
              <w:keepNext/>
              <w:keepLines/>
              <w:spacing w:before="0" w:after="0" w:line="240" w:lineRule="auto"/>
              <w:jc w:val="right"/>
            </w:pPr>
            <w:r>
              <w:rPr>
                <w:rFonts w:ascii="Times New Roman" w:hAnsi="Times New Roman"/>
                <w:sz w:val="18"/>
              </w:rPr>
              <w:t>-</w:t>
            </w:r>
          </w:p>
        </w:tc>
      </w:tr>
    </w:tbl>
    <w:p w14:paraId="688BFC6B">
      <w:pPr>
        <w:spacing w:before="0" w:after="0"/>
      </w:pPr>
    </w:p>
    <w:p w14:paraId="5C0332CF">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w:t>
      </w:r>
      <w:r>
        <w:br w:type="textWrapping"/>
      </w:r>
      <w:r>
        <w:t>ostvareni, a istovremeno za plaću i režijske troškove mjeseca prosinca školi će sredstva biti doznačena tek u siječnju. K tome, u ovoj godini knjiženi su i svi računi za nabavu namirnica za marendu za prosinac, a sredstva za podmirenje istih biti će doznačena krajem siječnja od strane MZOM-a. Također u potraživanjima, vidljivo je da su računi za trošak marendi predškolaca knjiženi u prosincu, dok će uplate biti vidljive u siječnju 2026.</w:t>
      </w:r>
    </w:p>
    <w:p w14:paraId="122E125D"/>
    <w:p w14:paraId="0829FA1D">
      <w:pPr>
        <w:keepNext/>
        <w:spacing w:line="240" w:lineRule="auto"/>
        <w:jc w:val="center"/>
      </w:pPr>
      <w:r>
        <w:rPr>
          <w:rFonts w:ascii="Times New Roman" w:hAnsi="Times New Roman"/>
          <w:sz w:val="28"/>
        </w:rPr>
        <w:t>Bilješka 21.</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15626FF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09743DC">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015D8204">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1EC31E74">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45C7AA9E">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C800CAE">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49D07A97">
            <w:pPr>
              <w:keepNext/>
              <w:keepLines/>
              <w:spacing w:before="0" w:after="0" w:line="240" w:lineRule="auto"/>
              <w:jc w:val="center"/>
            </w:pPr>
            <w:r>
              <w:rPr>
                <w:rFonts w:ascii="Times New Roman" w:hAnsi="Times New Roman"/>
                <w:b/>
                <w:sz w:val="18"/>
              </w:rPr>
              <w:t>Indeks (%)</w:t>
            </w:r>
          </w:p>
        </w:tc>
      </w:tr>
      <w:tr w14:paraId="35E60521">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064DD27">
            <w:pPr>
              <w:keepNext/>
              <w:keepLines/>
              <w:spacing w:before="0" w:after="0" w:line="240" w:lineRule="auto"/>
              <w:jc w:val="left"/>
            </w:pPr>
            <w:r>
              <w:rPr>
                <w:rFonts w:ascii="Times New Roman" w:hAnsi="Times New Roman"/>
                <w:sz w:val="18"/>
              </w:rPr>
              <w:t>96, 97</w:t>
            </w:r>
          </w:p>
        </w:tc>
        <w:tc>
          <w:tcPr>
            <w:tcMar>
              <w:top w:w="0" w:type="dxa"/>
              <w:bottom w:w="0" w:type="dxa"/>
            </w:tcMar>
            <w:vAlign w:val="center"/>
          </w:tcPr>
          <w:p w14:paraId="7387864B">
            <w:pPr>
              <w:keepNext/>
              <w:keepLines/>
              <w:spacing w:before="0" w:after="0" w:line="240" w:lineRule="auto"/>
              <w:jc w:val="left"/>
            </w:pPr>
            <w:r>
              <w:rPr>
                <w:rFonts w:ascii="Times New Roman" w:hAnsi="Times New Roman"/>
                <w:sz w:val="18"/>
              </w:rPr>
              <w:t>Obračunati prihodi poslovanja i od prodaje nefinancijske imovine - nenaplaćeni (šifre 96+97)</w:t>
            </w:r>
          </w:p>
        </w:tc>
        <w:tc>
          <w:tcPr>
            <w:tcMar>
              <w:top w:w="0" w:type="dxa"/>
              <w:bottom w:w="0" w:type="dxa"/>
            </w:tcMar>
            <w:vAlign w:val="center"/>
          </w:tcPr>
          <w:p w14:paraId="3D767C74">
            <w:pPr>
              <w:keepNext/>
              <w:keepLines/>
              <w:spacing w:before="0" w:after="0" w:line="240" w:lineRule="auto"/>
              <w:jc w:val="left"/>
            </w:pPr>
            <w:r>
              <w:rPr>
                <w:rFonts w:ascii="Times New Roman" w:hAnsi="Times New Roman"/>
                <w:sz w:val="18"/>
              </w:rPr>
              <w:t>96,97</w:t>
            </w:r>
          </w:p>
        </w:tc>
        <w:tc>
          <w:tcPr>
            <w:tcMar>
              <w:top w:w="0" w:type="dxa"/>
              <w:bottom w:w="0" w:type="dxa"/>
            </w:tcMar>
            <w:vAlign w:val="center"/>
          </w:tcPr>
          <w:p w14:paraId="330FA212">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0C59CD05">
            <w:pPr>
              <w:keepNext/>
              <w:keepLines/>
              <w:spacing w:before="0" w:after="0" w:line="240" w:lineRule="auto"/>
              <w:jc w:val="right"/>
            </w:pPr>
            <w:r>
              <w:rPr>
                <w:rFonts w:ascii="Times New Roman" w:hAnsi="Times New Roman"/>
                <w:sz w:val="18"/>
              </w:rPr>
              <w:t>53.594,72</w:t>
            </w:r>
          </w:p>
        </w:tc>
        <w:tc>
          <w:tcPr>
            <w:tcMar>
              <w:top w:w="0" w:type="dxa"/>
              <w:bottom w:w="0" w:type="dxa"/>
            </w:tcMar>
            <w:vAlign w:val="center"/>
          </w:tcPr>
          <w:p w14:paraId="25C6D69F">
            <w:pPr>
              <w:keepNext/>
              <w:keepLines/>
              <w:spacing w:before="0" w:after="0" w:line="240" w:lineRule="auto"/>
              <w:jc w:val="right"/>
            </w:pPr>
            <w:r>
              <w:rPr>
                <w:rFonts w:ascii="Times New Roman" w:hAnsi="Times New Roman"/>
                <w:sz w:val="18"/>
              </w:rPr>
              <w:t>-</w:t>
            </w:r>
          </w:p>
        </w:tc>
      </w:tr>
    </w:tbl>
    <w:p w14:paraId="6CFE1903">
      <w:pPr>
        <w:spacing w:before="0" w:after="0"/>
      </w:pPr>
    </w:p>
    <w:p w14:paraId="4A59826C">
      <w:r>
        <w:t>Sukladno novom Pravilniku ukinuti su dosadašnji kontinuirani troškovi te se sada knjiže potraživanja za obračunate plaće i ostale troškove koji su knjiženi po načelu nastanka.   </w:t>
      </w:r>
    </w:p>
    <w:p w14:paraId="353670C8"/>
    <w:p w14:paraId="7F516F4B">
      <w:pPr>
        <w:keepNext/>
        <w:spacing w:line="240" w:lineRule="auto"/>
        <w:jc w:val="center"/>
      </w:pPr>
      <w:r>
        <w:rPr>
          <w:rFonts w:ascii="Times New Roman" w:hAnsi="Times New Roman"/>
          <w:sz w:val="28"/>
        </w:rPr>
        <w:t>Bilješka 22.</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1B601E1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2D828E6C">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2068F19">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3EF5D86">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0024E591">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214FD1E">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69F14DA8">
            <w:pPr>
              <w:keepNext/>
              <w:keepLines/>
              <w:spacing w:before="0" w:after="0" w:line="240" w:lineRule="auto"/>
              <w:jc w:val="center"/>
            </w:pPr>
            <w:r>
              <w:rPr>
                <w:rFonts w:ascii="Times New Roman" w:hAnsi="Times New Roman"/>
                <w:b/>
                <w:sz w:val="18"/>
              </w:rPr>
              <w:t>Indeks (%)</w:t>
            </w:r>
          </w:p>
        </w:tc>
      </w:tr>
      <w:tr w14:paraId="250955E0">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ED7F239">
            <w:pPr>
              <w:keepNext/>
              <w:keepLines/>
              <w:spacing w:before="0" w:after="0" w:line="240" w:lineRule="auto"/>
              <w:jc w:val="left"/>
            </w:pPr>
          </w:p>
        </w:tc>
        <w:tc>
          <w:tcPr>
            <w:tcMar>
              <w:top w:w="0" w:type="dxa"/>
              <w:bottom w:w="0" w:type="dxa"/>
            </w:tcMar>
            <w:vAlign w:val="center"/>
          </w:tcPr>
          <w:p w14:paraId="36A10257">
            <w:pPr>
              <w:keepNext/>
              <w:keepLines/>
              <w:spacing w:before="0" w:after="0" w:line="240" w:lineRule="auto"/>
              <w:jc w:val="left"/>
            </w:pPr>
            <w:r>
              <w:rPr>
                <w:rFonts w:ascii="Times New Roman" w:hAnsi="Times New Roman"/>
                <w:sz w:val="18"/>
              </w:rPr>
              <w:t>MANJAK PRIHODA I PRIMITAKA (šifre Y345-X678)</w:t>
            </w:r>
          </w:p>
        </w:tc>
        <w:tc>
          <w:tcPr>
            <w:tcMar>
              <w:top w:w="0" w:type="dxa"/>
              <w:bottom w:w="0" w:type="dxa"/>
            </w:tcMar>
            <w:vAlign w:val="center"/>
          </w:tcPr>
          <w:p w14:paraId="5B4CE494">
            <w:pPr>
              <w:keepNext/>
              <w:keepLines/>
              <w:spacing w:before="0" w:after="0" w:line="240" w:lineRule="auto"/>
              <w:jc w:val="left"/>
            </w:pPr>
            <w:r>
              <w:rPr>
                <w:rFonts w:ascii="Times New Roman" w:hAnsi="Times New Roman"/>
                <w:sz w:val="18"/>
              </w:rPr>
              <w:t>Y005</w:t>
            </w:r>
          </w:p>
        </w:tc>
        <w:tc>
          <w:tcPr>
            <w:tcMar>
              <w:top w:w="0" w:type="dxa"/>
              <w:bottom w:w="0" w:type="dxa"/>
            </w:tcMar>
            <w:vAlign w:val="center"/>
          </w:tcPr>
          <w:p w14:paraId="52BEF736">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5F70EB9D">
            <w:pPr>
              <w:keepNext/>
              <w:keepLines/>
              <w:spacing w:before="0" w:after="0" w:line="240" w:lineRule="auto"/>
              <w:jc w:val="right"/>
            </w:pPr>
            <w:r>
              <w:rPr>
                <w:rFonts w:ascii="Times New Roman" w:hAnsi="Times New Roman"/>
                <w:sz w:val="18"/>
              </w:rPr>
              <w:t>58.146,59</w:t>
            </w:r>
          </w:p>
        </w:tc>
        <w:tc>
          <w:tcPr>
            <w:tcMar>
              <w:top w:w="0" w:type="dxa"/>
              <w:bottom w:w="0" w:type="dxa"/>
            </w:tcMar>
            <w:vAlign w:val="center"/>
          </w:tcPr>
          <w:p w14:paraId="5F7D32C3">
            <w:pPr>
              <w:keepNext/>
              <w:keepLines/>
              <w:spacing w:before="0" w:after="0" w:line="240" w:lineRule="auto"/>
              <w:jc w:val="right"/>
            </w:pPr>
            <w:r>
              <w:rPr>
                <w:rFonts w:ascii="Times New Roman" w:hAnsi="Times New Roman"/>
                <w:sz w:val="18"/>
              </w:rPr>
              <w:t>-</w:t>
            </w:r>
          </w:p>
        </w:tc>
      </w:tr>
    </w:tbl>
    <w:p w14:paraId="024E6230">
      <w:pPr>
        <w:spacing w:before="0" w:after="0"/>
      </w:pPr>
    </w:p>
    <w:p w14:paraId="062E6D50">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w:t>
      </w:r>
      <w:r>
        <w:br w:type="textWrapping"/>
      </w:r>
      <w:r>
        <w:t>ostvareni, a istovremeno za plaću i režijske troškove mjeseca prosinca školi će sredstva biti doznačena tek u siječnju. K tome, u ovoj godini knjiženi su i svi računi za nabavu namirnica za marendu za prosinac, a sredstva za podmirenje istih biti će doznačena krajem siječnja od strane MZOM-a. Također u potraživanjima, vidljivo je da su računi za trošak marendi predškolaca knjiženi u prosincu, dok će uplate biti vidljive u siječnju 2026.</w:t>
      </w:r>
    </w:p>
    <w:p w14:paraId="6B1E6D84"/>
    <w:p w14:paraId="73245A73">
      <w:pPr>
        <w:keepNext/>
        <w:spacing w:line="240" w:lineRule="auto"/>
        <w:jc w:val="center"/>
      </w:pPr>
      <w:r>
        <w:rPr>
          <w:rFonts w:ascii="Times New Roman" w:hAnsi="Times New Roman"/>
          <w:sz w:val="28"/>
        </w:rPr>
        <w:t>Bilješka 23.</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A57074F">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52AC6B38">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099C6C0D">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51A24B50">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72600956">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0334A99B">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36A9B70A">
            <w:pPr>
              <w:keepNext/>
              <w:keepLines/>
              <w:spacing w:before="0" w:after="0" w:line="240" w:lineRule="auto"/>
              <w:jc w:val="center"/>
            </w:pPr>
            <w:r>
              <w:rPr>
                <w:rFonts w:ascii="Times New Roman" w:hAnsi="Times New Roman"/>
                <w:b/>
                <w:sz w:val="18"/>
              </w:rPr>
              <w:t>Indeks (%)</w:t>
            </w:r>
          </w:p>
        </w:tc>
      </w:tr>
      <w:tr w14:paraId="42011A0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2D71209">
            <w:pPr>
              <w:keepNext/>
              <w:keepLines/>
              <w:spacing w:before="0" w:after="0" w:line="240" w:lineRule="auto"/>
              <w:jc w:val="left"/>
            </w:pPr>
          </w:p>
        </w:tc>
        <w:tc>
          <w:tcPr>
            <w:tcMar>
              <w:top w:w="0" w:type="dxa"/>
              <w:bottom w:w="0" w:type="dxa"/>
            </w:tcMar>
            <w:vAlign w:val="center"/>
          </w:tcPr>
          <w:p w14:paraId="7DB60897">
            <w:pPr>
              <w:keepNext/>
              <w:keepLines/>
              <w:spacing w:before="0" w:after="0" w:line="240" w:lineRule="auto"/>
              <w:jc w:val="left"/>
            </w:pPr>
            <w:r>
              <w:rPr>
                <w:rFonts w:ascii="Times New Roman" w:hAnsi="Times New Roman"/>
                <w:sz w:val="18"/>
              </w:rPr>
              <w:t>Manjak prihoda i primitaka za pokriće u sljedećem razdoblju (šifre Y005 + '9222-9221' - X005 - '9221-9222' )</w:t>
            </w:r>
          </w:p>
        </w:tc>
        <w:tc>
          <w:tcPr>
            <w:tcMar>
              <w:top w:w="0" w:type="dxa"/>
              <w:bottom w:w="0" w:type="dxa"/>
            </w:tcMar>
            <w:vAlign w:val="center"/>
          </w:tcPr>
          <w:p w14:paraId="1D22F83F">
            <w:pPr>
              <w:keepNext/>
              <w:keepLines/>
              <w:spacing w:before="0" w:after="0" w:line="240" w:lineRule="auto"/>
              <w:jc w:val="left"/>
            </w:pPr>
            <w:r>
              <w:rPr>
                <w:rFonts w:ascii="Times New Roman" w:hAnsi="Times New Roman"/>
                <w:sz w:val="18"/>
              </w:rPr>
              <w:t>Y006</w:t>
            </w:r>
          </w:p>
        </w:tc>
        <w:tc>
          <w:tcPr>
            <w:tcMar>
              <w:top w:w="0" w:type="dxa"/>
              <w:bottom w:w="0" w:type="dxa"/>
            </w:tcMar>
            <w:vAlign w:val="center"/>
          </w:tcPr>
          <w:p w14:paraId="18058256">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6A6C277F">
            <w:pPr>
              <w:keepNext/>
              <w:keepLines/>
              <w:spacing w:before="0" w:after="0" w:line="240" w:lineRule="auto"/>
              <w:jc w:val="right"/>
            </w:pPr>
            <w:r>
              <w:rPr>
                <w:rFonts w:ascii="Times New Roman" w:hAnsi="Times New Roman"/>
                <w:sz w:val="18"/>
              </w:rPr>
              <w:t>55.816,84</w:t>
            </w:r>
          </w:p>
        </w:tc>
        <w:tc>
          <w:tcPr>
            <w:tcMar>
              <w:top w:w="0" w:type="dxa"/>
              <w:bottom w:w="0" w:type="dxa"/>
            </w:tcMar>
            <w:vAlign w:val="center"/>
          </w:tcPr>
          <w:p w14:paraId="78BF5C84">
            <w:pPr>
              <w:keepNext/>
              <w:keepLines/>
              <w:spacing w:before="0" w:after="0" w:line="240" w:lineRule="auto"/>
              <w:jc w:val="right"/>
            </w:pPr>
            <w:r>
              <w:rPr>
                <w:rFonts w:ascii="Times New Roman" w:hAnsi="Times New Roman"/>
                <w:sz w:val="18"/>
              </w:rPr>
              <w:t>-</w:t>
            </w:r>
          </w:p>
        </w:tc>
      </w:tr>
    </w:tbl>
    <w:p w14:paraId="41B08E5E">
      <w:pPr>
        <w:spacing w:before="0" w:after="0"/>
      </w:pPr>
    </w:p>
    <w:p w14:paraId="4F2D5EF3">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w:t>
      </w:r>
      <w:r>
        <w:br w:type="textWrapping"/>
      </w:r>
      <w:r>
        <w:t>ostvareni, a istovremeno za plaću i režijske troškove mjeseca prosinca školi će sredstva biti doznačena tek u siječnju. K tome, u ovoj godini knjiženi su i svi računi za nabavu namirnica za marendu za prosinac, a sredstva za podmirenje istih biti će doznačena krajem siječnja od strane MZOM-a. Također u potraživanjima, vidljivo je da su računi za trošak marendi predškolaca knjiženi u prosincu, dok će uplate biti vidljive u siječnju 2026.</w:t>
      </w:r>
    </w:p>
    <w:p w14:paraId="5CC12064"/>
    <w:p w14:paraId="4337B143">
      <w:pPr>
        <w:keepNext/>
        <w:spacing w:line="240" w:lineRule="auto"/>
        <w:jc w:val="center"/>
      </w:pPr>
      <w:r>
        <w:rPr>
          <w:rFonts w:ascii="Times New Roman" w:hAnsi="Times New Roman"/>
          <w:sz w:val="28"/>
        </w:rPr>
        <w:t>Bilješka 24.</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36902A2">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BA3D889">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1E4B2A2C">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B8E1B1F">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6F47530">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3A303002">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14CD5F70">
            <w:pPr>
              <w:keepNext/>
              <w:keepLines/>
              <w:spacing w:before="0" w:after="0" w:line="240" w:lineRule="auto"/>
              <w:jc w:val="center"/>
            </w:pPr>
            <w:r>
              <w:rPr>
                <w:rFonts w:ascii="Times New Roman" w:hAnsi="Times New Roman"/>
                <w:b/>
                <w:sz w:val="18"/>
              </w:rPr>
              <w:t>Indeks (%)</w:t>
            </w:r>
          </w:p>
        </w:tc>
      </w:tr>
      <w:tr w14:paraId="5C97A858">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A0E6337">
            <w:pPr>
              <w:keepNext/>
              <w:keepLines/>
              <w:spacing w:before="0" w:after="0" w:line="240" w:lineRule="auto"/>
              <w:jc w:val="left"/>
            </w:pPr>
            <w:r>
              <w:rPr>
                <w:rFonts w:ascii="Times New Roman" w:hAnsi="Times New Roman"/>
                <w:sz w:val="18"/>
              </w:rPr>
              <w:t>19</w:t>
            </w:r>
          </w:p>
        </w:tc>
        <w:tc>
          <w:tcPr>
            <w:tcMar>
              <w:top w:w="0" w:type="dxa"/>
              <w:bottom w:w="0" w:type="dxa"/>
            </w:tcMar>
            <w:vAlign w:val="center"/>
          </w:tcPr>
          <w:p w14:paraId="34B78C6C">
            <w:pPr>
              <w:keepNext/>
              <w:keepLines/>
              <w:spacing w:before="0" w:after="0" w:line="240" w:lineRule="auto"/>
              <w:jc w:val="left"/>
            </w:pPr>
            <w:r>
              <w:rPr>
                <w:rFonts w:ascii="Times New Roman" w:hAnsi="Times New Roman"/>
                <w:sz w:val="18"/>
              </w:rPr>
              <w:t>Rashodi budućih razdoblja i nedospjela naplata prihoda (aktivna vremenska razgraničenja)</w:t>
            </w:r>
          </w:p>
        </w:tc>
        <w:tc>
          <w:tcPr>
            <w:tcMar>
              <w:top w:w="0" w:type="dxa"/>
              <w:bottom w:w="0" w:type="dxa"/>
            </w:tcMar>
            <w:vAlign w:val="center"/>
          </w:tcPr>
          <w:p w14:paraId="2476E985">
            <w:pPr>
              <w:keepNext/>
              <w:keepLines/>
              <w:spacing w:before="0" w:after="0" w:line="240" w:lineRule="auto"/>
              <w:jc w:val="left"/>
            </w:pPr>
            <w:r>
              <w:rPr>
                <w:rFonts w:ascii="Times New Roman" w:hAnsi="Times New Roman"/>
                <w:sz w:val="18"/>
              </w:rPr>
              <w:t>19</w:t>
            </w:r>
          </w:p>
        </w:tc>
        <w:tc>
          <w:tcPr>
            <w:tcMar>
              <w:top w:w="0" w:type="dxa"/>
              <w:bottom w:w="0" w:type="dxa"/>
            </w:tcMar>
            <w:vAlign w:val="center"/>
          </w:tcPr>
          <w:p w14:paraId="63F72015">
            <w:pPr>
              <w:keepNext/>
              <w:keepLines/>
              <w:spacing w:before="0" w:after="0" w:line="240" w:lineRule="auto"/>
              <w:jc w:val="right"/>
            </w:pPr>
            <w:r>
              <w:rPr>
                <w:rFonts w:ascii="Times New Roman" w:hAnsi="Times New Roman"/>
                <w:sz w:val="18"/>
              </w:rPr>
              <w:t>44.828,56</w:t>
            </w:r>
          </w:p>
        </w:tc>
        <w:tc>
          <w:tcPr>
            <w:tcMar>
              <w:top w:w="0" w:type="dxa"/>
              <w:bottom w:w="0" w:type="dxa"/>
            </w:tcMar>
            <w:vAlign w:val="center"/>
          </w:tcPr>
          <w:p w14:paraId="1E9EB73C">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080B9770">
            <w:pPr>
              <w:keepNext/>
              <w:keepLines/>
              <w:spacing w:before="0" w:after="0" w:line="240" w:lineRule="auto"/>
              <w:jc w:val="right"/>
            </w:pPr>
            <w:r>
              <w:rPr>
                <w:rFonts w:ascii="Times New Roman" w:hAnsi="Times New Roman"/>
                <w:sz w:val="18"/>
              </w:rPr>
              <w:t>0</w:t>
            </w:r>
          </w:p>
        </w:tc>
      </w:tr>
    </w:tbl>
    <w:p w14:paraId="0C2F2B9E">
      <w:pPr>
        <w:spacing w:before="0" w:after="0"/>
      </w:pPr>
    </w:p>
    <w:p w14:paraId="32EFCE4F">
      <w:r>
        <w:t>U 2025.godini ukinuti su kontinuirani troškovi.</w:t>
      </w:r>
    </w:p>
    <w:p w14:paraId="5736DC4D"/>
    <w:p w14:paraId="6669697C">
      <w:pPr>
        <w:keepNext/>
        <w:spacing w:line="240" w:lineRule="auto"/>
        <w:jc w:val="center"/>
      </w:pPr>
      <w:r>
        <w:rPr>
          <w:rFonts w:ascii="Times New Roman" w:hAnsi="Times New Roman"/>
          <w:b/>
          <w:sz w:val="28"/>
        </w:rPr>
        <w:t>Bilanca</w:t>
      </w:r>
    </w:p>
    <w:p w14:paraId="4F9DC390">
      <w:pPr>
        <w:keepNext/>
        <w:spacing w:line="240" w:lineRule="auto"/>
        <w:jc w:val="center"/>
      </w:pPr>
      <w:r>
        <w:rPr>
          <w:rFonts w:ascii="Times New Roman" w:hAnsi="Times New Roman"/>
          <w:sz w:val="28"/>
        </w:rPr>
        <w:t>Bilješka 25.</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953D2B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7E6431B">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1630855D">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53C45ED5">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5666D56A">
            <w:pPr>
              <w:keepNext/>
              <w:keepLines/>
              <w:spacing w:before="0" w:after="0" w:line="240" w:lineRule="auto"/>
              <w:jc w:val="center"/>
            </w:pPr>
            <w:r>
              <w:rPr>
                <w:rFonts w:ascii="Times New Roman" w:hAnsi="Times New Roman"/>
                <w:b/>
                <w:sz w:val="18"/>
              </w:rPr>
              <w:t>Stanje 1. siječnja</w:t>
            </w:r>
          </w:p>
        </w:tc>
        <w:tc>
          <w:tcPr>
            <w:shd w:val="clear" w:color="auto" w:fill="E7F0F9"/>
            <w:tcMar>
              <w:top w:w="0" w:type="dxa"/>
              <w:bottom w:w="0" w:type="dxa"/>
            </w:tcMar>
            <w:vAlign w:val="center"/>
          </w:tcPr>
          <w:p w14:paraId="23522D37">
            <w:pPr>
              <w:keepNext/>
              <w:keepLines/>
              <w:spacing w:before="0" w:after="0" w:line="240" w:lineRule="auto"/>
              <w:jc w:val="center"/>
            </w:pPr>
            <w:r>
              <w:rPr>
                <w:rFonts w:ascii="Times New Roman" w:hAnsi="Times New Roman"/>
                <w:b/>
                <w:sz w:val="18"/>
              </w:rPr>
              <w:t>Stanje 31. prosinca</w:t>
            </w:r>
          </w:p>
        </w:tc>
        <w:tc>
          <w:tcPr>
            <w:shd w:val="clear" w:color="auto" w:fill="E7F0F9"/>
            <w:tcMar>
              <w:top w:w="0" w:type="dxa"/>
              <w:bottom w:w="0" w:type="dxa"/>
            </w:tcMar>
            <w:vAlign w:val="center"/>
          </w:tcPr>
          <w:p w14:paraId="11AC44AA">
            <w:pPr>
              <w:keepNext/>
              <w:keepLines/>
              <w:spacing w:before="0" w:after="0" w:line="240" w:lineRule="auto"/>
              <w:jc w:val="center"/>
            </w:pPr>
            <w:r>
              <w:rPr>
                <w:rFonts w:ascii="Times New Roman" w:hAnsi="Times New Roman"/>
                <w:b/>
                <w:sz w:val="18"/>
              </w:rPr>
              <w:t>Indeks (%)</w:t>
            </w:r>
          </w:p>
        </w:tc>
      </w:tr>
      <w:tr w14:paraId="4EC90F5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CCE0010">
            <w:pPr>
              <w:keepNext/>
              <w:keepLines/>
              <w:spacing w:before="0" w:after="0" w:line="240" w:lineRule="auto"/>
              <w:jc w:val="left"/>
            </w:pPr>
            <w:r>
              <w:rPr>
                <w:rFonts w:ascii="Times New Roman" w:hAnsi="Times New Roman"/>
                <w:sz w:val="18"/>
              </w:rPr>
              <w:t>0</w:t>
            </w:r>
          </w:p>
        </w:tc>
        <w:tc>
          <w:tcPr>
            <w:tcMar>
              <w:top w:w="0" w:type="dxa"/>
              <w:bottom w:w="0" w:type="dxa"/>
            </w:tcMar>
            <w:vAlign w:val="center"/>
          </w:tcPr>
          <w:p w14:paraId="09AE092C">
            <w:pPr>
              <w:keepNext/>
              <w:keepLines/>
              <w:spacing w:before="0" w:after="0" w:line="240" w:lineRule="auto"/>
              <w:jc w:val="left"/>
            </w:pPr>
            <w:r>
              <w:rPr>
                <w:rFonts w:ascii="Times New Roman" w:hAnsi="Times New Roman"/>
                <w:sz w:val="18"/>
              </w:rPr>
              <w:t>Nefinancijska imovina (šifre 01+02+03+04+05+06)</w:t>
            </w:r>
          </w:p>
        </w:tc>
        <w:tc>
          <w:tcPr>
            <w:tcMar>
              <w:top w:w="0" w:type="dxa"/>
              <w:bottom w:w="0" w:type="dxa"/>
            </w:tcMar>
            <w:vAlign w:val="center"/>
          </w:tcPr>
          <w:p w14:paraId="5C77BABD">
            <w:pPr>
              <w:keepNext/>
              <w:keepLines/>
              <w:spacing w:before="0" w:after="0" w:line="240" w:lineRule="auto"/>
              <w:jc w:val="left"/>
            </w:pPr>
            <w:r>
              <w:rPr>
                <w:rFonts w:ascii="Times New Roman" w:hAnsi="Times New Roman"/>
                <w:sz w:val="18"/>
              </w:rPr>
              <w:t>B002</w:t>
            </w:r>
          </w:p>
        </w:tc>
        <w:tc>
          <w:tcPr>
            <w:tcMar>
              <w:top w:w="0" w:type="dxa"/>
              <w:bottom w:w="0" w:type="dxa"/>
            </w:tcMar>
            <w:vAlign w:val="center"/>
          </w:tcPr>
          <w:p w14:paraId="6FF86D39">
            <w:pPr>
              <w:keepNext/>
              <w:keepLines/>
              <w:spacing w:before="0" w:after="0" w:line="240" w:lineRule="auto"/>
              <w:jc w:val="right"/>
            </w:pPr>
            <w:r>
              <w:rPr>
                <w:rFonts w:ascii="Times New Roman" w:hAnsi="Times New Roman"/>
                <w:sz w:val="18"/>
              </w:rPr>
              <w:t>237.677,48</w:t>
            </w:r>
          </w:p>
        </w:tc>
        <w:tc>
          <w:tcPr>
            <w:tcMar>
              <w:top w:w="0" w:type="dxa"/>
              <w:bottom w:w="0" w:type="dxa"/>
            </w:tcMar>
            <w:vAlign w:val="center"/>
          </w:tcPr>
          <w:p w14:paraId="0BEC75F9">
            <w:pPr>
              <w:keepNext/>
              <w:keepLines/>
              <w:spacing w:before="0" w:after="0" w:line="240" w:lineRule="auto"/>
              <w:jc w:val="right"/>
            </w:pPr>
            <w:r>
              <w:rPr>
                <w:rFonts w:ascii="Times New Roman" w:hAnsi="Times New Roman"/>
                <w:sz w:val="18"/>
              </w:rPr>
              <w:t>207.885,97</w:t>
            </w:r>
          </w:p>
        </w:tc>
        <w:tc>
          <w:tcPr>
            <w:tcMar>
              <w:top w:w="0" w:type="dxa"/>
              <w:bottom w:w="0" w:type="dxa"/>
            </w:tcMar>
            <w:vAlign w:val="center"/>
          </w:tcPr>
          <w:p w14:paraId="28B00863">
            <w:pPr>
              <w:keepNext/>
              <w:keepLines/>
              <w:spacing w:before="0" w:after="0" w:line="240" w:lineRule="auto"/>
              <w:jc w:val="right"/>
            </w:pPr>
            <w:r>
              <w:rPr>
                <w:rFonts w:ascii="Times New Roman" w:hAnsi="Times New Roman"/>
                <w:sz w:val="18"/>
              </w:rPr>
              <w:t>87,5</w:t>
            </w:r>
          </w:p>
        </w:tc>
      </w:tr>
    </w:tbl>
    <w:p w14:paraId="01063566">
      <w:pPr>
        <w:spacing w:before="0" w:after="0"/>
      </w:pPr>
    </w:p>
    <w:p w14:paraId="194F2ED0">
      <w:r>
        <w:t>Do smanjenja došlo je zbog redovitog obračuna amortizacije.</w:t>
      </w:r>
    </w:p>
    <w:p w14:paraId="50537E31"/>
    <w:p w14:paraId="2FF53F2C">
      <w:pPr>
        <w:keepNext/>
        <w:spacing w:line="240" w:lineRule="auto"/>
        <w:jc w:val="center"/>
      </w:pPr>
      <w:r>
        <w:rPr>
          <w:rFonts w:ascii="Times New Roman" w:hAnsi="Times New Roman"/>
          <w:sz w:val="28"/>
        </w:rPr>
        <w:t>Bilješka 26.</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6153606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3F4F437">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BB36D81">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6AA2D578">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3858E0CB">
            <w:pPr>
              <w:keepNext/>
              <w:keepLines/>
              <w:spacing w:before="0" w:after="0" w:line="240" w:lineRule="auto"/>
              <w:jc w:val="center"/>
            </w:pPr>
            <w:r>
              <w:rPr>
                <w:rFonts w:ascii="Times New Roman" w:hAnsi="Times New Roman"/>
                <w:b/>
                <w:sz w:val="18"/>
              </w:rPr>
              <w:t>Stanje 1. siječnja</w:t>
            </w:r>
          </w:p>
        </w:tc>
        <w:tc>
          <w:tcPr>
            <w:shd w:val="clear" w:color="auto" w:fill="E7F0F9"/>
            <w:tcMar>
              <w:top w:w="0" w:type="dxa"/>
              <w:bottom w:w="0" w:type="dxa"/>
            </w:tcMar>
            <w:vAlign w:val="center"/>
          </w:tcPr>
          <w:p w14:paraId="090514E2">
            <w:pPr>
              <w:keepNext/>
              <w:keepLines/>
              <w:spacing w:before="0" w:after="0" w:line="240" w:lineRule="auto"/>
              <w:jc w:val="center"/>
            </w:pPr>
            <w:r>
              <w:rPr>
                <w:rFonts w:ascii="Times New Roman" w:hAnsi="Times New Roman"/>
                <w:b/>
                <w:sz w:val="18"/>
              </w:rPr>
              <w:t>Stanje 31. prosinca</w:t>
            </w:r>
          </w:p>
        </w:tc>
        <w:tc>
          <w:tcPr>
            <w:shd w:val="clear" w:color="auto" w:fill="E7F0F9"/>
            <w:tcMar>
              <w:top w:w="0" w:type="dxa"/>
              <w:bottom w:w="0" w:type="dxa"/>
            </w:tcMar>
            <w:vAlign w:val="center"/>
          </w:tcPr>
          <w:p w14:paraId="4900EE88">
            <w:pPr>
              <w:keepNext/>
              <w:keepLines/>
              <w:spacing w:before="0" w:after="0" w:line="240" w:lineRule="auto"/>
              <w:jc w:val="center"/>
            </w:pPr>
            <w:r>
              <w:rPr>
                <w:rFonts w:ascii="Times New Roman" w:hAnsi="Times New Roman"/>
                <w:b/>
                <w:sz w:val="18"/>
              </w:rPr>
              <w:t>Indeks (%)</w:t>
            </w:r>
          </w:p>
        </w:tc>
      </w:tr>
      <w:tr w14:paraId="0FF5FB2F">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B5154C5">
            <w:pPr>
              <w:keepNext/>
              <w:keepLines/>
              <w:spacing w:before="0" w:after="0" w:line="240" w:lineRule="auto"/>
              <w:jc w:val="left"/>
            </w:pPr>
            <w:r>
              <w:rPr>
                <w:rFonts w:ascii="Times New Roman" w:hAnsi="Times New Roman"/>
                <w:sz w:val="18"/>
              </w:rPr>
              <w:t>1636</w:t>
            </w:r>
          </w:p>
        </w:tc>
        <w:tc>
          <w:tcPr>
            <w:tcMar>
              <w:top w:w="0" w:type="dxa"/>
              <w:bottom w:w="0" w:type="dxa"/>
            </w:tcMar>
            <w:vAlign w:val="center"/>
          </w:tcPr>
          <w:p w14:paraId="2771CE12">
            <w:pPr>
              <w:keepNext/>
              <w:keepLines/>
              <w:spacing w:before="0" w:after="0" w:line="240" w:lineRule="auto"/>
              <w:jc w:val="left"/>
            </w:pPr>
            <w:r>
              <w:rPr>
                <w:rFonts w:ascii="Times New Roman" w:hAnsi="Times New Roman"/>
                <w:sz w:val="18"/>
              </w:rPr>
              <w:t>Potraživanja za pomoći proračunskim korisnicima iz proračuna koji im nije nadležan</w:t>
            </w:r>
          </w:p>
        </w:tc>
        <w:tc>
          <w:tcPr>
            <w:tcMar>
              <w:top w:w="0" w:type="dxa"/>
              <w:bottom w:w="0" w:type="dxa"/>
            </w:tcMar>
            <w:vAlign w:val="center"/>
          </w:tcPr>
          <w:p w14:paraId="440CA949">
            <w:pPr>
              <w:keepNext/>
              <w:keepLines/>
              <w:spacing w:before="0" w:after="0" w:line="240" w:lineRule="auto"/>
              <w:jc w:val="left"/>
            </w:pPr>
            <w:r>
              <w:rPr>
                <w:rFonts w:ascii="Times New Roman" w:hAnsi="Times New Roman"/>
                <w:sz w:val="18"/>
              </w:rPr>
              <w:t>1636</w:t>
            </w:r>
          </w:p>
        </w:tc>
        <w:tc>
          <w:tcPr>
            <w:tcMar>
              <w:top w:w="0" w:type="dxa"/>
              <w:bottom w:w="0" w:type="dxa"/>
            </w:tcMar>
            <w:vAlign w:val="center"/>
          </w:tcPr>
          <w:p w14:paraId="592286ED">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6955A0D6">
            <w:pPr>
              <w:keepNext/>
              <w:keepLines/>
              <w:spacing w:before="0" w:after="0" w:line="240" w:lineRule="auto"/>
              <w:jc w:val="right"/>
            </w:pPr>
            <w:r>
              <w:rPr>
                <w:rFonts w:ascii="Times New Roman" w:hAnsi="Times New Roman"/>
                <w:sz w:val="18"/>
              </w:rPr>
              <w:t>53.578,61</w:t>
            </w:r>
          </w:p>
        </w:tc>
        <w:tc>
          <w:tcPr>
            <w:tcMar>
              <w:top w:w="0" w:type="dxa"/>
              <w:bottom w:w="0" w:type="dxa"/>
            </w:tcMar>
            <w:vAlign w:val="center"/>
          </w:tcPr>
          <w:p w14:paraId="019D6CB1">
            <w:pPr>
              <w:keepNext/>
              <w:keepLines/>
              <w:spacing w:before="0" w:after="0" w:line="240" w:lineRule="auto"/>
              <w:jc w:val="right"/>
            </w:pPr>
            <w:r>
              <w:rPr>
                <w:rFonts w:ascii="Times New Roman" w:hAnsi="Times New Roman"/>
                <w:sz w:val="18"/>
              </w:rPr>
              <w:t>-</w:t>
            </w:r>
          </w:p>
        </w:tc>
      </w:tr>
    </w:tbl>
    <w:p w14:paraId="4F904ED4">
      <w:pPr>
        <w:spacing w:before="0" w:after="0"/>
      </w:pPr>
    </w:p>
    <w:p w14:paraId="60A7B437">
      <w:r>
        <w:t>Novim pravilnikom ukinuti su kontinuirani rashodi. zbog tpoga škola knjiži potraživanja za plaće i ostale materijalne troškove prosinca.</w:t>
      </w:r>
    </w:p>
    <w:p w14:paraId="06077298"/>
    <w:p w14:paraId="1C6E9FE0">
      <w:pPr>
        <w:keepNext/>
        <w:spacing w:line="240" w:lineRule="auto"/>
        <w:jc w:val="center"/>
      </w:pPr>
      <w:r>
        <w:rPr>
          <w:rFonts w:ascii="Times New Roman" w:hAnsi="Times New Roman"/>
          <w:sz w:val="28"/>
        </w:rPr>
        <w:t>Bilješka 27.</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51B5D466">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77F3A485">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7B5EEFE3">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628456D7">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A1302F0">
            <w:pPr>
              <w:keepNext/>
              <w:keepLines/>
              <w:spacing w:before="0" w:after="0" w:line="240" w:lineRule="auto"/>
              <w:jc w:val="center"/>
            </w:pPr>
            <w:r>
              <w:rPr>
                <w:rFonts w:ascii="Times New Roman" w:hAnsi="Times New Roman"/>
                <w:b/>
                <w:sz w:val="18"/>
              </w:rPr>
              <w:t>Stanje 1. siječnja</w:t>
            </w:r>
          </w:p>
        </w:tc>
        <w:tc>
          <w:tcPr>
            <w:shd w:val="clear" w:color="auto" w:fill="E7F0F9"/>
            <w:tcMar>
              <w:top w:w="0" w:type="dxa"/>
              <w:bottom w:w="0" w:type="dxa"/>
            </w:tcMar>
            <w:vAlign w:val="center"/>
          </w:tcPr>
          <w:p w14:paraId="40AB617D">
            <w:pPr>
              <w:keepNext/>
              <w:keepLines/>
              <w:spacing w:before="0" w:after="0" w:line="240" w:lineRule="auto"/>
              <w:jc w:val="center"/>
            </w:pPr>
            <w:r>
              <w:rPr>
                <w:rFonts w:ascii="Times New Roman" w:hAnsi="Times New Roman"/>
                <w:b/>
                <w:sz w:val="18"/>
              </w:rPr>
              <w:t>Stanje 31. prosinca</w:t>
            </w:r>
          </w:p>
        </w:tc>
        <w:tc>
          <w:tcPr>
            <w:shd w:val="clear" w:color="auto" w:fill="E7F0F9"/>
            <w:tcMar>
              <w:top w:w="0" w:type="dxa"/>
              <w:bottom w:w="0" w:type="dxa"/>
            </w:tcMar>
            <w:vAlign w:val="center"/>
          </w:tcPr>
          <w:p w14:paraId="0578B011">
            <w:pPr>
              <w:keepNext/>
              <w:keepLines/>
              <w:spacing w:before="0" w:after="0" w:line="240" w:lineRule="auto"/>
              <w:jc w:val="center"/>
            </w:pPr>
            <w:r>
              <w:rPr>
                <w:rFonts w:ascii="Times New Roman" w:hAnsi="Times New Roman"/>
                <w:b/>
                <w:sz w:val="18"/>
              </w:rPr>
              <w:t>Indeks (%)</w:t>
            </w:r>
          </w:p>
        </w:tc>
      </w:tr>
      <w:tr w14:paraId="5521750B">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67739010">
            <w:pPr>
              <w:keepNext/>
              <w:keepLines/>
              <w:spacing w:before="0" w:after="0" w:line="240" w:lineRule="auto"/>
              <w:jc w:val="left"/>
            </w:pPr>
            <w:r>
              <w:rPr>
                <w:rFonts w:ascii="Times New Roman" w:hAnsi="Times New Roman"/>
                <w:sz w:val="18"/>
              </w:rPr>
              <w:t>19</w:t>
            </w:r>
          </w:p>
        </w:tc>
        <w:tc>
          <w:tcPr>
            <w:tcMar>
              <w:top w:w="0" w:type="dxa"/>
              <w:bottom w:w="0" w:type="dxa"/>
            </w:tcMar>
            <w:vAlign w:val="center"/>
          </w:tcPr>
          <w:p w14:paraId="6AAD902D">
            <w:pPr>
              <w:keepNext/>
              <w:keepLines/>
              <w:spacing w:before="0" w:after="0" w:line="240" w:lineRule="auto"/>
              <w:jc w:val="left"/>
            </w:pPr>
            <w:r>
              <w:rPr>
                <w:rFonts w:ascii="Times New Roman" w:hAnsi="Times New Roman"/>
                <w:sz w:val="18"/>
              </w:rPr>
              <w:t>Rashodi budućih razdoblja i nedospjela naplata prihoda (aktivna vremenska razgraničenja) (šifre 191 do 193)</w:t>
            </w:r>
          </w:p>
        </w:tc>
        <w:tc>
          <w:tcPr>
            <w:tcMar>
              <w:top w:w="0" w:type="dxa"/>
              <w:bottom w:w="0" w:type="dxa"/>
            </w:tcMar>
            <w:vAlign w:val="center"/>
          </w:tcPr>
          <w:p w14:paraId="22440026">
            <w:pPr>
              <w:keepNext/>
              <w:keepLines/>
              <w:spacing w:before="0" w:after="0" w:line="240" w:lineRule="auto"/>
              <w:jc w:val="left"/>
            </w:pPr>
            <w:r>
              <w:rPr>
                <w:rFonts w:ascii="Times New Roman" w:hAnsi="Times New Roman"/>
                <w:sz w:val="18"/>
              </w:rPr>
              <w:t>19</w:t>
            </w:r>
          </w:p>
        </w:tc>
        <w:tc>
          <w:tcPr>
            <w:tcMar>
              <w:top w:w="0" w:type="dxa"/>
              <w:bottom w:w="0" w:type="dxa"/>
            </w:tcMar>
            <w:vAlign w:val="center"/>
          </w:tcPr>
          <w:p w14:paraId="1FEDDAB9">
            <w:pPr>
              <w:keepNext/>
              <w:keepLines/>
              <w:spacing w:before="0" w:after="0" w:line="240" w:lineRule="auto"/>
              <w:jc w:val="right"/>
            </w:pPr>
            <w:r>
              <w:rPr>
                <w:rFonts w:ascii="Times New Roman" w:hAnsi="Times New Roman"/>
                <w:sz w:val="18"/>
              </w:rPr>
              <w:t>44.828,56</w:t>
            </w:r>
          </w:p>
        </w:tc>
        <w:tc>
          <w:tcPr>
            <w:tcMar>
              <w:top w:w="0" w:type="dxa"/>
              <w:bottom w:w="0" w:type="dxa"/>
            </w:tcMar>
            <w:vAlign w:val="center"/>
          </w:tcPr>
          <w:p w14:paraId="1E801E48">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61E7C902">
            <w:pPr>
              <w:keepNext/>
              <w:keepLines/>
              <w:spacing w:before="0" w:after="0" w:line="240" w:lineRule="auto"/>
              <w:jc w:val="right"/>
            </w:pPr>
            <w:r>
              <w:rPr>
                <w:rFonts w:ascii="Times New Roman" w:hAnsi="Times New Roman"/>
                <w:sz w:val="18"/>
              </w:rPr>
              <w:t>0</w:t>
            </w:r>
          </w:p>
        </w:tc>
      </w:tr>
    </w:tbl>
    <w:p w14:paraId="4697A8C2">
      <w:pPr>
        <w:spacing w:before="0" w:after="0"/>
      </w:pPr>
    </w:p>
    <w:p w14:paraId="0B67B99C">
      <w:r>
        <w:t>Novim pravilnikom ukinuti su kontinuirani rashodi.</w:t>
      </w:r>
    </w:p>
    <w:p w14:paraId="6A5F5EF1"/>
    <w:p w14:paraId="0E368D74">
      <w:pPr>
        <w:keepNext/>
        <w:spacing w:line="240" w:lineRule="auto"/>
        <w:jc w:val="center"/>
      </w:pPr>
      <w:r>
        <w:rPr>
          <w:rFonts w:ascii="Times New Roman" w:hAnsi="Times New Roman"/>
          <w:sz w:val="28"/>
        </w:rPr>
        <w:t>Bilješka 28.</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2D077885">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103866D">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5D84192F">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09873551">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199DB4EB">
            <w:pPr>
              <w:keepNext/>
              <w:keepLines/>
              <w:spacing w:before="0" w:after="0" w:line="240" w:lineRule="auto"/>
              <w:jc w:val="center"/>
            </w:pPr>
            <w:r>
              <w:rPr>
                <w:rFonts w:ascii="Times New Roman" w:hAnsi="Times New Roman"/>
                <w:b/>
                <w:sz w:val="18"/>
              </w:rPr>
              <w:t>Stanje 1. siječnja</w:t>
            </w:r>
          </w:p>
        </w:tc>
        <w:tc>
          <w:tcPr>
            <w:shd w:val="clear" w:color="auto" w:fill="E7F0F9"/>
            <w:tcMar>
              <w:top w:w="0" w:type="dxa"/>
              <w:bottom w:w="0" w:type="dxa"/>
            </w:tcMar>
            <w:vAlign w:val="center"/>
          </w:tcPr>
          <w:p w14:paraId="07B6140C">
            <w:pPr>
              <w:keepNext/>
              <w:keepLines/>
              <w:spacing w:before="0" w:after="0" w:line="240" w:lineRule="auto"/>
              <w:jc w:val="center"/>
            </w:pPr>
            <w:r>
              <w:rPr>
                <w:rFonts w:ascii="Times New Roman" w:hAnsi="Times New Roman"/>
                <w:b/>
                <w:sz w:val="18"/>
              </w:rPr>
              <w:t>Stanje 31. prosinca</w:t>
            </w:r>
          </w:p>
        </w:tc>
        <w:tc>
          <w:tcPr>
            <w:shd w:val="clear" w:color="auto" w:fill="E7F0F9"/>
            <w:tcMar>
              <w:top w:w="0" w:type="dxa"/>
              <w:bottom w:w="0" w:type="dxa"/>
            </w:tcMar>
            <w:vAlign w:val="center"/>
          </w:tcPr>
          <w:p w14:paraId="7C685AB0">
            <w:pPr>
              <w:keepNext/>
              <w:keepLines/>
              <w:spacing w:before="0" w:after="0" w:line="240" w:lineRule="auto"/>
              <w:jc w:val="center"/>
            </w:pPr>
            <w:r>
              <w:rPr>
                <w:rFonts w:ascii="Times New Roman" w:hAnsi="Times New Roman"/>
                <w:b/>
                <w:sz w:val="18"/>
              </w:rPr>
              <w:t>Indeks (%)</w:t>
            </w:r>
          </w:p>
        </w:tc>
      </w:tr>
      <w:tr w14:paraId="2DBC644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74F63DE">
            <w:pPr>
              <w:keepNext/>
              <w:keepLines/>
              <w:spacing w:before="0" w:after="0" w:line="240" w:lineRule="auto"/>
              <w:jc w:val="left"/>
            </w:pPr>
            <w:r>
              <w:rPr>
                <w:rFonts w:ascii="Times New Roman" w:hAnsi="Times New Roman"/>
                <w:sz w:val="18"/>
              </w:rPr>
              <w:t>232</w:t>
            </w:r>
          </w:p>
        </w:tc>
        <w:tc>
          <w:tcPr>
            <w:tcMar>
              <w:top w:w="0" w:type="dxa"/>
              <w:bottom w:w="0" w:type="dxa"/>
            </w:tcMar>
            <w:vAlign w:val="center"/>
          </w:tcPr>
          <w:p w14:paraId="2F9BBD91">
            <w:pPr>
              <w:keepNext/>
              <w:keepLines/>
              <w:spacing w:before="0" w:after="0" w:line="240" w:lineRule="auto"/>
              <w:jc w:val="left"/>
            </w:pPr>
            <w:r>
              <w:rPr>
                <w:rFonts w:ascii="Times New Roman" w:hAnsi="Times New Roman"/>
                <w:sz w:val="18"/>
              </w:rPr>
              <w:t>Obveze za materijalne rashode</w:t>
            </w:r>
          </w:p>
        </w:tc>
        <w:tc>
          <w:tcPr>
            <w:tcMar>
              <w:top w:w="0" w:type="dxa"/>
              <w:bottom w:w="0" w:type="dxa"/>
            </w:tcMar>
            <w:vAlign w:val="center"/>
          </w:tcPr>
          <w:p w14:paraId="082C5E74">
            <w:pPr>
              <w:keepNext/>
              <w:keepLines/>
              <w:spacing w:before="0" w:after="0" w:line="240" w:lineRule="auto"/>
              <w:jc w:val="left"/>
            </w:pPr>
            <w:r>
              <w:rPr>
                <w:rFonts w:ascii="Times New Roman" w:hAnsi="Times New Roman"/>
                <w:sz w:val="18"/>
              </w:rPr>
              <w:t>232</w:t>
            </w:r>
          </w:p>
        </w:tc>
        <w:tc>
          <w:tcPr>
            <w:tcMar>
              <w:top w:w="0" w:type="dxa"/>
              <w:bottom w:w="0" w:type="dxa"/>
            </w:tcMar>
            <w:vAlign w:val="center"/>
          </w:tcPr>
          <w:p w14:paraId="24FF4484">
            <w:pPr>
              <w:keepNext/>
              <w:keepLines/>
              <w:spacing w:before="0" w:after="0" w:line="240" w:lineRule="auto"/>
              <w:jc w:val="right"/>
            </w:pPr>
            <w:r>
              <w:rPr>
                <w:rFonts w:ascii="Times New Roman" w:hAnsi="Times New Roman"/>
                <w:sz w:val="18"/>
              </w:rPr>
              <w:t>3.693,38</w:t>
            </w:r>
          </w:p>
        </w:tc>
        <w:tc>
          <w:tcPr>
            <w:tcMar>
              <w:top w:w="0" w:type="dxa"/>
              <w:bottom w:w="0" w:type="dxa"/>
            </w:tcMar>
            <w:vAlign w:val="center"/>
          </w:tcPr>
          <w:p w14:paraId="225754C1">
            <w:pPr>
              <w:keepNext/>
              <w:keepLines/>
              <w:spacing w:before="0" w:after="0" w:line="240" w:lineRule="auto"/>
              <w:jc w:val="right"/>
            </w:pPr>
            <w:r>
              <w:rPr>
                <w:rFonts w:ascii="Times New Roman" w:hAnsi="Times New Roman"/>
                <w:sz w:val="18"/>
              </w:rPr>
              <w:t>9.029,34</w:t>
            </w:r>
          </w:p>
        </w:tc>
        <w:tc>
          <w:tcPr>
            <w:tcMar>
              <w:top w:w="0" w:type="dxa"/>
              <w:bottom w:w="0" w:type="dxa"/>
            </w:tcMar>
            <w:vAlign w:val="center"/>
          </w:tcPr>
          <w:p w14:paraId="2C81C291">
            <w:pPr>
              <w:keepNext/>
              <w:keepLines/>
              <w:spacing w:before="0" w:after="0" w:line="240" w:lineRule="auto"/>
              <w:jc w:val="right"/>
            </w:pPr>
            <w:r>
              <w:rPr>
                <w:rFonts w:ascii="Times New Roman" w:hAnsi="Times New Roman"/>
                <w:sz w:val="18"/>
              </w:rPr>
              <w:t>244,5</w:t>
            </w:r>
          </w:p>
        </w:tc>
      </w:tr>
    </w:tbl>
    <w:p w14:paraId="446D17F5">
      <w:pPr>
        <w:spacing w:before="0" w:after="0"/>
      </w:pPr>
    </w:p>
    <w:p w14:paraId="39CAFF40">
      <w:r>
        <w:t>Do povećanje je došlo zbog nabave lož ulja tijekom prosinca, hladnija zima.</w:t>
      </w:r>
    </w:p>
    <w:p w14:paraId="162D5556"/>
    <w:p w14:paraId="14757262">
      <w:pPr>
        <w:keepNext/>
        <w:spacing w:line="240" w:lineRule="auto"/>
        <w:jc w:val="center"/>
      </w:pPr>
      <w:r>
        <w:rPr>
          <w:rFonts w:ascii="Times New Roman" w:hAnsi="Times New Roman"/>
          <w:sz w:val="28"/>
        </w:rPr>
        <w:t>Bilješka 29.</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84B9C1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44D73C16">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22D9CD1B">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4B6C66C9">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430F4AF7">
            <w:pPr>
              <w:keepNext/>
              <w:keepLines/>
              <w:spacing w:before="0" w:after="0" w:line="240" w:lineRule="auto"/>
              <w:jc w:val="center"/>
            </w:pPr>
            <w:r>
              <w:rPr>
                <w:rFonts w:ascii="Times New Roman" w:hAnsi="Times New Roman"/>
                <w:b/>
                <w:sz w:val="18"/>
              </w:rPr>
              <w:t>Stanje 1. siječnja</w:t>
            </w:r>
          </w:p>
        </w:tc>
        <w:tc>
          <w:tcPr>
            <w:shd w:val="clear" w:color="auto" w:fill="E7F0F9"/>
            <w:tcMar>
              <w:top w:w="0" w:type="dxa"/>
              <w:bottom w:w="0" w:type="dxa"/>
            </w:tcMar>
            <w:vAlign w:val="center"/>
          </w:tcPr>
          <w:p w14:paraId="45657159">
            <w:pPr>
              <w:keepNext/>
              <w:keepLines/>
              <w:spacing w:before="0" w:after="0" w:line="240" w:lineRule="auto"/>
              <w:jc w:val="center"/>
            </w:pPr>
            <w:r>
              <w:rPr>
                <w:rFonts w:ascii="Times New Roman" w:hAnsi="Times New Roman"/>
                <w:b/>
                <w:sz w:val="18"/>
              </w:rPr>
              <w:t>Stanje 31. prosinca</w:t>
            </w:r>
          </w:p>
        </w:tc>
        <w:tc>
          <w:tcPr>
            <w:shd w:val="clear" w:color="auto" w:fill="E7F0F9"/>
            <w:tcMar>
              <w:top w:w="0" w:type="dxa"/>
              <w:bottom w:w="0" w:type="dxa"/>
            </w:tcMar>
            <w:vAlign w:val="center"/>
          </w:tcPr>
          <w:p w14:paraId="5B34E5B7">
            <w:pPr>
              <w:keepNext/>
              <w:keepLines/>
              <w:spacing w:before="0" w:after="0" w:line="240" w:lineRule="auto"/>
              <w:jc w:val="center"/>
            </w:pPr>
            <w:r>
              <w:rPr>
                <w:rFonts w:ascii="Times New Roman" w:hAnsi="Times New Roman"/>
                <w:b/>
                <w:sz w:val="18"/>
              </w:rPr>
              <w:t>Indeks (%)</w:t>
            </w:r>
          </w:p>
        </w:tc>
      </w:tr>
      <w:tr w14:paraId="75C77FA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7BCABAF0">
            <w:pPr>
              <w:keepNext/>
              <w:keepLines/>
              <w:spacing w:before="0" w:after="0" w:line="240" w:lineRule="auto"/>
              <w:jc w:val="left"/>
            </w:pPr>
            <w:r>
              <w:rPr>
                <w:rFonts w:ascii="Times New Roman" w:hAnsi="Times New Roman"/>
                <w:sz w:val="18"/>
              </w:rPr>
              <w:t>92221</w:t>
            </w:r>
          </w:p>
        </w:tc>
        <w:tc>
          <w:tcPr>
            <w:tcMar>
              <w:top w:w="0" w:type="dxa"/>
              <w:bottom w:w="0" w:type="dxa"/>
            </w:tcMar>
            <w:vAlign w:val="center"/>
          </w:tcPr>
          <w:p w14:paraId="7DBEDBA9">
            <w:pPr>
              <w:keepNext/>
              <w:keepLines/>
              <w:spacing w:before="0" w:after="0" w:line="240" w:lineRule="auto"/>
              <w:jc w:val="left"/>
            </w:pPr>
            <w:r>
              <w:rPr>
                <w:rFonts w:ascii="Times New Roman" w:hAnsi="Times New Roman"/>
                <w:sz w:val="18"/>
              </w:rPr>
              <w:t>Manjak prihoda poslovanja</w:t>
            </w:r>
          </w:p>
        </w:tc>
        <w:tc>
          <w:tcPr>
            <w:tcMar>
              <w:top w:w="0" w:type="dxa"/>
              <w:bottom w:w="0" w:type="dxa"/>
            </w:tcMar>
            <w:vAlign w:val="center"/>
          </w:tcPr>
          <w:p w14:paraId="4C001631">
            <w:pPr>
              <w:keepNext/>
              <w:keepLines/>
              <w:spacing w:before="0" w:after="0" w:line="240" w:lineRule="auto"/>
              <w:jc w:val="left"/>
            </w:pPr>
            <w:r>
              <w:rPr>
                <w:rFonts w:ascii="Times New Roman" w:hAnsi="Times New Roman"/>
                <w:sz w:val="18"/>
              </w:rPr>
              <w:t>92221</w:t>
            </w:r>
          </w:p>
        </w:tc>
        <w:tc>
          <w:tcPr>
            <w:tcMar>
              <w:top w:w="0" w:type="dxa"/>
              <w:bottom w:w="0" w:type="dxa"/>
            </w:tcMar>
            <w:vAlign w:val="center"/>
          </w:tcPr>
          <w:p w14:paraId="48CB6E0E">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1A6E8618">
            <w:pPr>
              <w:keepNext/>
              <w:keepLines/>
              <w:spacing w:before="0" w:after="0" w:line="240" w:lineRule="auto"/>
              <w:jc w:val="right"/>
            </w:pPr>
            <w:r>
              <w:rPr>
                <w:rFonts w:ascii="Times New Roman" w:hAnsi="Times New Roman"/>
                <w:sz w:val="18"/>
              </w:rPr>
              <w:t>55.816,84</w:t>
            </w:r>
          </w:p>
        </w:tc>
        <w:tc>
          <w:tcPr>
            <w:tcMar>
              <w:top w:w="0" w:type="dxa"/>
              <w:bottom w:w="0" w:type="dxa"/>
            </w:tcMar>
            <w:vAlign w:val="center"/>
          </w:tcPr>
          <w:p w14:paraId="124E501A">
            <w:pPr>
              <w:keepNext/>
              <w:keepLines/>
              <w:spacing w:before="0" w:after="0" w:line="240" w:lineRule="auto"/>
              <w:jc w:val="right"/>
            </w:pPr>
            <w:r>
              <w:rPr>
                <w:rFonts w:ascii="Times New Roman" w:hAnsi="Times New Roman"/>
                <w:sz w:val="18"/>
              </w:rPr>
              <w:t>-</w:t>
            </w:r>
          </w:p>
        </w:tc>
      </w:tr>
    </w:tbl>
    <w:p w14:paraId="1A6C6BAB">
      <w:pPr>
        <w:spacing w:before="0" w:after="0"/>
      </w:pPr>
    </w:p>
    <w:p w14:paraId="7F913BA7">
      <w:r>
        <w:t>Navedeni manjak je ustvari metodološki manjak nastao primjenom novog Pravilnik o proračunskom računovodstvu i računskom planu stupio je na snagu s početkom 2024.godine, ali se u knjigovodstvenim evidencijama primjenjuje od 01. siječnja 2025. godine.</w:t>
      </w:r>
    </w:p>
    <w:p w14:paraId="2E0934C4">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w:t>
      </w:r>
      <w:r>
        <w:br w:type="textWrapping"/>
      </w:r>
      <w:r>
        <w:t>ostvareni, a istovremeno za plaću i režijske troškove mjeseca prosinca školi će sredstva biti doznačena tek u siječnju. K tome, u 2025.godini knjiženi su i svi računi za nabavu namirnica za marendu za prosinac, a sredstva za podmirenje istih biti će doznačena krajem siječnja 2026. godine od strane MZOM-a.</w:t>
      </w:r>
    </w:p>
    <w:p w14:paraId="3BEDF157"/>
    <w:p w14:paraId="76F9CB8F">
      <w:pPr>
        <w:keepNext/>
        <w:spacing w:line="240" w:lineRule="auto"/>
        <w:jc w:val="center"/>
      </w:pPr>
      <w:r>
        <w:rPr>
          <w:rFonts w:ascii="Times New Roman" w:hAnsi="Times New Roman"/>
          <w:b/>
          <w:sz w:val="28"/>
        </w:rPr>
        <w:t>Izvještaj o rashodima prema funkcijskoj klasifikaciji</w:t>
      </w:r>
    </w:p>
    <w:p w14:paraId="256C8A17">
      <w:pPr>
        <w:keepNext/>
        <w:spacing w:line="240" w:lineRule="auto"/>
        <w:jc w:val="center"/>
      </w:pPr>
      <w:r>
        <w:rPr>
          <w:rFonts w:ascii="Times New Roman" w:hAnsi="Times New Roman"/>
          <w:sz w:val="28"/>
        </w:rPr>
        <w:t>Bilješka 30.</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51DDE197">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FEED22D">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6C5C9C4E">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170281EF">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FE4C46C">
            <w:pPr>
              <w:keepNext/>
              <w:keepLines/>
              <w:spacing w:before="0" w:after="0" w:line="240" w:lineRule="auto"/>
              <w:jc w:val="center"/>
            </w:pPr>
            <w:r>
              <w:rPr>
                <w:rFonts w:ascii="Times New Roman" w:hAnsi="Times New Roman"/>
                <w:b/>
                <w:sz w:val="18"/>
              </w:rPr>
              <w:t>Ostvareno u izvještajnom razdoblju prethodne godine</w:t>
            </w:r>
          </w:p>
        </w:tc>
        <w:tc>
          <w:tcPr>
            <w:shd w:val="clear" w:color="auto" w:fill="E7F0F9"/>
            <w:tcMar>
              <w:top w:w="0" w:type="dxa"/>
              <w:bottom w:w="0" w:type="dxa"/>
            </w:tcMar>
            <w:vAlign w:val="center"/>
          </w:tcPr>
          <w:p w14:paraId="276604C2">
            <w:pPr>
              <w:keepNext/>
              <w:keepLines/>
              <w:spacing w:before="0" w:after="0" w:line="240" w:lineRule="auto"/>
              <w:jc w:val="center"/>
            </w:pPr>
            <w:r>
              <w:rPr>
                <w:rFonts w:ascii="Times New Roman" w:hAnsi="Times New Roman"/>
                <w:b/>
                <w:sz w:val="18"/>
              </w:rPr>
              <w:t>Ostvareno u izvještajnom razdoblju tekuće godine</w:t>
            </w:r>
          </w:p>
        </w:tc>
        <w:tc>
          <w:tcPr>
            <w:shd w:val="clear" w:color="auto" w:fill="E7F0F9"/>
            <w:tcMar>
              <w:top w:w="0" w:type="dxa"/>
              <w:bottom w:w="0" w:type="dxa"/>
            </w:tcMar>
            <w:vAlign w:val="center"/>
          </w:tcPr>
          <w:p w14:paraId="0D6D4368">
            <w:pPr>
              <w:keepNext/>
              <w:keepLines/>
              <w:spacing w:before="0" w:after="0" w:line="240" w:lineRule="auto"/>
              <w:jc w:val="center"/>
            </w:pPr>
            <w:r>
              <w:rPr>
                <w:rFonts w:ascii="Times New Roman" w:hAnsi="Times New Roman"/>
                <w:b/>
                <w:sz w:val="18"/>
              </w:rPr>
              <w:t>Indeks (%)</w:t>
            </w:r>
          </w:p>
        </w:tc>
      </w:tr>
      <w:tr w14:paraId="3B1A1229">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2F6ACCA6">
            <w:pPr>
              <w:keepNext/>
              <w:keepLines/>
              <w:spacing w:before="0" w:after="0" w:line="240" w:lineRule="auto"/>
              <w:jc w:val="left"/>
            </w:pPr>
            <w:r>
              <w:rPr>
                <w:rFonts w:ascii="Times New Roman" w:hAnsi="Times New Roman"/>
                <w:sz w:val="18"/>
              </w:rPr>
              <w:t>096</w:t>
            </w:r>
          </w:p>
        </w:tc>
        <w:tc>
          <w:tcPr>
            <w:tcMar>
              <w:top w:w="0" w:type="dxa"/>
              <w:bottom w:w="0" w:type="dxa"/>
            </w:tcMar>
            <w:vAlign w:val="center"/>
          </w:tcPr>
          <w:p w14:paraId="55EAE951">
            <w:pPr>
              <w:keepNext/>
              <w:keepLines/>
              <w:spacing w:before="0" w:after="0" w:line="240" w:lineRule="auto"/>
              <w:jc w:val="left"/>
            </w:pPr>
            <w:r>
              <w:rPr>
                <w:rFonts w:ascii="Times New Roman" w:hAnsi="Times New Roman"/>
                <w:sz w:val="18"/>
              </w:rPr>
              <w:t>Dodatne usluge u obrazovanju</w:t>
            </w:r>
          </w:p>
        </w:tc>
        <w:tc>
          <w:tcPr>
            <w:tcMar>
              <w:top w:w="0" w:type="dxa"/>
              <w:bottom w:w="0" w:type="dxa"/>
            </w:tcMar>
            <w:vAlign w:val="center"/>
          </w:tcPr>
          <w:p w14:paraId="75035C98">
            <w:pPr>
              <w:keepNext/>
              <w:keepLines/>
              <w:spacing w:before="0" w:after="0" w:line="240" w:lineRule="auto"/>
              <w:jc w:val="left"/>
            </w:pPr>
            <w:r>
              <w:rPr>
                <w:rFonts w:ascii="Times New Roman" w:hAnsi="Times New Roman"/>
                <w:sz w:val="18"/>
              </w:rPr>
              <w:t>096</w:t>
            </w:r>
          </w:p>
        </w:tc>
        <w:tc>
          <w:tcPr>
            <w:tcMar>
              <w:top w:w="0" w:type="dxa"/>
              <w:bottom w:w="0" w:type="dxa"/>
            </w:tcMar>
            <w:vAlign w:val="center"/>
          </w:tcPr>
          <w:p w14:paraId="7925E531">
            <w:pPr>
              <w:keepNext/>
              <w:keepLines/>
              <w:spacing w:before="0" w:after="0" w:line="240" w:lineRule="auto"/>
              <w:jc w:val="right"/>
            </w:pPr>
            <w:r>
              <w:rPr>
                <w:rFonts w:ascii="Times New Roman" w:hAnsi="Times New Roman"/>
                <w:sz w:val="18"/>
              </w:rPr>
              <w:t>9.122,83</w:t>
            </w:r>
          </w:p>
        </w:tc>
        <w:tc>
          <w:tcPr>
            <w:tcMar>
              <w:top w:w="0" w:type="dxa"/>
              <w:bottom w:w="0" w:type="dxa"/>
            </w:tcMar>
            <w:vAlign w:val="center"/>
          </w:tcPr>
          <w:p w14:paraId="5DF87FDF">
            <w:pPr>
              <w:keepNext/>
              <w:keepLines/>
              <w:spacing w:before="0" w:after="0" w:line="240" w:lineRule="auto"/>
              <w:jc w:val="right"/>
            </w:pPr>
            <w:r>
              <w:rPr>
                <w:rFonts w:ascii="Times New Roman" w:hAnsi="Times New Roman"/>
                <w:sz w:val="18"/>
              </w:rPr>
              <w:t>9.990,00</w:t>
            </w:r>
          </w:p>
        </w:tc>
        <w:tc>
          <w:tcPr>
            <w:tcMar>
              <w:top w:w="0" w:type="dxa"/>
              <w:bottom w:w="0" w:type="dxa"/>
            </w:tcMar>
            <w:vAlign w:val="center"/>
          </w:tcPr>
          <w:p w14:paraId="574E0CAE">
            <w:pPr>
              <w:keepNext/>
              <w:keepLines/>
              <w:spacing w:before="0" w:after="0" w:line="240" w:lineRule="auto"/>
              <w:jc w:val="right"/>
            </w:pPr>
            <w:r>
              <w:rPr>
                <w:rFonts w:ascii="Times New Roman" w:hAnsi="Times New Roman"/>
                <w:sz w:val="18"/>
              </w:rPr>
              <w:t>109,5</w:t>
            </w:r>
          </w:p>
        </w:tc>
      </w:tr>
    </w:tbl>
    <w:p w14:paraId="108EA883">
      <w:pPr>
        <w:spacing w:before="0" w:after="0"/>
      </w:pPr>
    </w:p>
    <w:p w14:paraId="47C160AF">
      <w:r>
        <w:t>Dodatne usluge u obrazovanju su uvećane zbog poskupljenja cijena namirnica prehrane.</w:t>
      </w:r>
    </w:p>
    <w:p w14:paraId="3FDC55C1"/>
    <w:p w14:paraId="26E8BAE8">
      <w:pPr>
        <w:keepNext/>
        <w:spacing w:line="240" w:lineRule="auto"/>
        <w:jc w:val="center"/>
      </w:pPr>
      <w:r>
        <w:rPr>
          <w:rFonts w:ascii="Times New Roman" w:hAnsi="Times New Roman"/>
          <w:b/>
          <w:sz w:val="28"/>
        </w:rPr>
        <w:t>Promjene u vrijednosti i obujmu imovine i obveza</w:t>
      </w:r>
    </w:p>
    <w:p w14:paraId="4C79C71C">
      <w:pPr>
        <w:keepNext/>
        <w:spacing w:line="240" w:lineRule="auto"/>
        <w:jc w:val="center"/>
      </w:pPr>
      <w:r>
        <w:rPr>
          <w:rFonts w:ascii="Times New Roman" w:hAnsi="Times New Roman"/>
          <w:sz w:val="28"/>
        </w:rPr>
        <w:t>Bilješka 31.</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1860"/>
        <w:gridCol w:w="700"/>
      </w:tblGrid>
      <w:tr w14:paraId="0F63A61E">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1CAA9176">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4A769E6B">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3AE89011">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B91020F">
            <w:pPr>
              <w:keepNext/>
              <w:keepLines/>
              <w:spacing w:before="0" w:after="0" w:line="240" w:lineRule="auto"/>
              <w:jc w:val="center"/>
            </w:pPr>
            <w:r>
              <w:rPr>
                <w:rFonts w:ascii="Times New Roman" w:hAnsi="Times New Roman"/>
                <w:b/>
                <w:sz w:val="18"/>
              </w:rPr>
              <w:t>Iznos povećanja</w:t>
            </w:r>
          </w:p>
        </w:tc>
        <w:tc>
          <w:tcPr>
            <w:shd w:val="clear" w:color="auto" w:fill="E7F0F9"/>
            <w:tcMar>
              <w:top w:w="0" w:type="dxa"/>
              <w:bottom w:w="0" w:type="dxa"/>
            </w:tcMar>
            <w:vAlign w:val="center"/>
          </w:tcPr>
          <w:p w14:paraId="71857279">
            <w:pPr>
              <w:keepNext/>
              <w:keepLines/>
              <w:spacing w:before="0" w:after="0" w:line="240" w:lineRule="auto"/>
              <w:jc w:val="center"/>
            </w:pPr>
            <w:r>
              <w:rPr>
                <w:rFonts w:ascii="Times New Roman" w:hAnsi="Times New Roman"/>
                <w:b/>
                <w:sz w:val="18"/>
              </w:rPr>
              <w:t>Iznos smanjenja</w:t>
            </w:r>
          </w:p>
        </w:tc>
        <w:tc>
          <w:tcPr>
            <w:shd w:val="clear" w:color="auto" w:fill="E7F0F9"/>
            <w:tcMar>
              <w:top w:w="0" w:type="dxa"/>
              <w:bottom w:w="0" w:type="dxa"/>
            </w:tcMar>
            <w:vAlign w:val="center"/>
          </w:tcPr>
          <w:p w14:paraId="39935085">
            <w:pPr>
              <w:keepNext/>
              <w:keepLines/>
              <w:spacing w:before="0" w:after="0" w:line="240" w:lineRule="auto"/>
              <w:jc w:val="center"/>
            </w:pPr>
            <w:r>
              <w:rPr>
                <w:rFonts w:ascii="Times New Roman" w:hAnsi="Times New Roman"/>
                <w:b/>
                <w:sz w:val="18"/>
              </w:rPr>
              <w:t>Indeks (%)</w:t>
            </w:r>
          </w:p>
        </w:tc>
      </w:tr>
      <w:tr w14:paraId="761B542A">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00A7741B">
            <w:pPr>
              <w:keepNext/>
              <w:keepLines/>
              <w:spacing w:before="0" w:after="0" w:line="240" w:lineRule="auto"/>
              <w:jc w:val="left"/>
            </w:pPr>
          </w:p>
        </w:tc>
        <w:tc>
          <w:tcPr>
            <w:tcMar>
              <w:top w:w="0" w:type="dxa"/>
              <w:bottom w:w="0" w:type="dxa"/>
            </w:tcMar>
            <w:vAlign w:val="center"/>
          </w:tcPr>
          <w:p w14:paraId="17CC62E8">
            <w:pPr>
              <w:keepNext/>
              <w:keepLines/>
              <w:spacing w:before="0" w:after="0" w:line="240" w:lineRule="auto"/>
              <w:jc w:val="left"/>
            </w:pPr>
            <w:r>
              <w:rPr>
                <w:rFonts w:ascii="Times New Roman" w:hAnsi="Times New Roman"/>
                <w:sz w:val="18"/>
              </w:rPr>
              <w:t>Proizvedena dugotrajna imovina</w:t>
            </w:r>
          </w:p>
        </w:tc>
        <w:tc>
          <w:tcPr>
            <w:tcMar>
              <w:top w:w="0" w:type="dxa"/>
              <w:bottom w:w="0" w:type="dxa"/>
            </w:tcMar>
            <w:vAlign w:val="center"/>
          </w:tcPr>
          <w:p w14:paraId="25B6C473">
            <w:pPr>
              <w:keepNext/>
              <w:keepLines/>
              <w:spacing w:before="0" w:after="0" w:line="240" w:lineRule="auto"/>
              <w:jc w:val="left"/>
            </w:pPr>
            <w:r>
              <w:rPr>
                <w:rFonts w:ascii="Times New Roman" w:hAnsi="Times New Roman"/>
                <w:sz w:val="18"/>
              </w:rPr>
              <w:t>P003</w:t>
            </w:r>
          </w:p>
        </w:tc>
        <w:tc>
          <w:tcPr>
            <w:tcMar>
              <w:top w:w="0" w:type="dxa"/>
              <w:bottom w:w="0" w:type="dxa"/>
            </w:tcMar>
            <w:vAlign w:val="center"/>
          </w:tcPr>
          <w:p w14:paraId="1119AF2B">
            <w:pPr>
              <w:keepNext/>
              <w:keepLines/>
              <w:spacing w:before="0" w:after="0" w:line="240" w:lineRule="auto"/>
              <w:jc w:val="right"/>
            </w:pPr>
            <w:r>
              <w:rPr>
                <w:rFonts w:ascii="Times New Roman" w:hAnsi="Times New Roman"/>
                <w:sz w:val="18"/>
              </w:rPr>
              <w:t>0,00</w:t>
            </w:r>
          </w:p>
        </w:tc>
        <w:tc>
          <w:tcPr>
            <w:tcMar>
              <w:top w:w="0" w:type="dxa"/>
              <w:bottom w:w="0" w:type="dxa"/>
            </w:tcMar>
            <w:vAlign w:val="center"/>
          </w:tcPr>
          <w:p w14:paraId="7B7603A2">
            <w:pPr>
              <w:keepNext/>
              <w:keepLines/>
              <w:spacing w:before="0" w:after="0" w:line="240" w:lineRule="auto"/>
              <w:jc w:val="right"/>
            </w:pPr>
            <w:r>
              <w:rPr>
                <w:rFonts w:ascii="Times New Roman" w:hAnsi="Times New Roman"/>
                <w:sz w:val="18"/>
              </w:rPr>
              <w:t>40.526,29</w:t>
            </w:r>
          </w:p>
        </w:tc>
        <w:tc>
          <w:tcPr>
            <w:tcMar>
              <w:top w:w="0" w:type="dxa"/>
              <w:bottom w:w="0" w:type="dxa"/>
            </w:tcMar>
            <w:vAlign w:val="center"/>
          </w:tcPr>
          <w:p w14:paraId="21ADD267">
            <w:pPr>
              <w:keepNext/>
              <w:keepLines/>
              <w:spacing w:before="0" w:after="0" w:line="240" w:lineRule="auto"/>
              <w:jc w:val="right"/>
            </w:pPr>
            <w:r>
              <w:rPr>
                <w:rFonts w:ascii="Times New Roman" w:hAnsi="Times New Roman"/>
                <w:sz w:val="18"/>
              </w:rPr>
              <w:t>-</w:t>
            </w:r>
          </w:p>
        </w:tc>
      </w:tr>
    </w:tbl>
    <w:p w14:paraId="2A855D01">
      <w:pPr>
        <w:spacing w:before="0" w:after="0"/>
      </w:pPr>
    </w:p>
    <w:p w14:paraId="2E698E92">
      <w:r>
        <w:t>Primjenom novog pravilnika evidentirana je redovita godišnja amortizacija zbog koje dolazi do smanjenja obujma imovine.</w:t>
      </w:r>
    </w:p>
    <w:p w14:paraId="59C45F7E"/>
    <w:p w14:paraId="4D06F4D2">
      <w:pPr>
        <w:keepNext/>
        <w:spacing w:line="240" w:lineRule="auto"/>
        <w:jc w:val="center"/>
      </w:pPr>
      <w:r>
        <w:rPr>
          <w:rFonts w:ascii="Times New Roman" w:hAnsi="Times New Roman"/>
          <w:b/>
          <w:sz w:val="28"/>
        </w:rPr>
        <w:t>Izvještaj o obvezama</w:t>
      </w:r>
    </w:p>
    <w:p w14:paraId="4BD2BC21">
      <w:pPr>
        <w:keepNext/>
        <w:spacing w:line="240" w:lineRule="auto"/>
        <w:jc w:val="center"/>
      </w:pPr>
      <w:r>
        <w:rPr>
          <w:rFonts w:ascii="Times New Roman" w:hAnsi="Times New Roman"/>
          <w:sz w:val="28"/>
        </w:rPr>
        <w:t>Bilješka 32.</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700"/>
      </w:tblGrid>
      <w:tr w14:paraId="2EEFC693">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3E6801F0">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38F147DE">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2E307A53">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37E1C558">
            <w:pPr>
              <w:keepNext/>
              <w:keepLines/>
              <w:spacing w:before="0" w:after="0" w:line="240" w:lineRule="auto"/>
              <w:jc w:val="center"/>
            </w:pPr>
            <w:r>
              <w:rPr>
                <w:rFonts w:ascii="Times New Roman" w:hAnsi="Times New Roman"/>
                <w:b/>
                <w:sz w:val="18"/>
              </w:rPr>
              <w:t>Iznos</w:t>
            </w:r>
          </w:p>
        </w:tc>
        <w:tc>
          <w:tcPr>
            <w:shd w:val="clear" w:color="auto" w:fill="E7F0F9"/>
            <w:tcMar>
              <w:top w:w="0" w:type="dxa"/>
              <w:bottom w:w="0" w:type="dxa"/>
            </w:tcMar>
            <w:vAlign w:val="center"/>
          </w:tcPr>
          <w:p w14:paraId="003CCD10">
            <w:pPr>
              <w:keepNext/>
              <w:keepLines/>
              <w:spacing w:before="0" w:after="0" w:line="240" w:lineRule="auto"/>
              <w:jc w:val="center"/>
            </w:pPr>
            <w:r>
              <w:rPr>
                <w:rFonts w:ascii="Times New Roman" w:hAnsi="Times New Roman"/>
                <w:b/>
                <w:sz w:val="18"/>
              </w:rPr>
              <w:t>Indeks (%)</w:t>
            </w:r>
          </w:p>
        </w:tc>
      </w:tr>
      <w:tr w14:paraId="339C794D">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5EF25FC7">
            <w:pPr>
              <w:keepNext/>
              <w:keepLines/>
              <w:spacing w:before="0" w:after="0" w:line="240" w:lineRule="auto"/>
              <w:jc w:val="left"/>
            </w:pPr>
          </w:p>
        </w:tc>
        <w:tc>
          <w:tcPr>
            <w:tcMar>
              <w:top w:w="0" w:type="dxa"/>
              <w:bottom w:w="0" w:type="dxa"/>
            </w:tcMar>
            <w:vAlign w:val="center"/>
          </w:tcPr>
          <w:p w14:paraId="2B911847">
            <w:pPr>
              <w:keepNext/>
              <w:keepLines/>
              <w:spacing w:before="0" w:after="0" w:line="240" w:lineRule="auto"/>
              <w:jc w:val="left"/>
            </w:pPr>
            <w:r>
              <w:rPr>
                <w:rFonts w:ascii="Times New Roman" w:hAnsi="Times New Roman"/>
                <w:sz w:val="18"/>
              </w:rPr>
              <w:t>Stanje dospjelih obveza na kraju izvještajnog razdoblja (šifre V008+D23+D24 + 'D dio 25,26' + D27)</w:t>
            </w:r>
          </w:p>
        </w:tc>
        <w:tc>
          <w:tcPr>
            <w:tcMar>
              <w:top w:w="0" w:type="dxa"/>
              <w:bottom w:w="0" w:type="dxa"/>
            </w:tcMar>
            <w:vAlign w:val="center"/>
          </w:tcPr>
          <w:p w14:paraId="28F37D59">
            <w:pPr>
              <w:keepNext/>
              <w:keepLines/>
              <w:spacing w:before="0" w:after="0" w:line="240" w:lineRule="auto"/>
              <w:jc w:val="left"/>
            </w:pPr>
            <w:r>
              <w:rPr>
                <w:rFonts w:ascii="Times New Roman" w:hAnsi="Times New Roman"/>
                <w:sz w:val="18"/>
              </w:rPr>
              <w:t>V007</w:t>
            </w:r>
          </w:p>
        </w:tc>
        <w:tc>
          <w:tcPr>
            <w:tcMar>
              <w:top w:w="0" w:type="dxa"/>
              <w:bottom w:w="0" w:type="dxa"/>
            </w:tcMar>
            <w:vAlign w:val="center"/>
          </w:tcPr>
          <w:p w14:paraId="75F61763">
            <w:pPr>
              <w:keepNext/>
              <w:keepLines/>
              <w:spacing w:before="0" w:after="0" w:line="240" w:lineRule="auto"/>
              <w:jc w:val="right"/>
            </w:pPr>
            <w:r>
              <w:rPr>
                <w:rFonts w:ascii="Times New Roman" w:hAnsi="Times New Roman"/>
                <w:sz w:val="18"/>
              </w:rPr>
              <w:t>1.496,39</w:t>
            </w:r>
          </w:p>
        </w:tc>
        <w:tc>
          <w:tcPr>
            <w:tcMar>
              <w:top w:w="0" w:type="dxa"/>
              <w:bottom w:w="0" w:type="dxa"/>
            </w:tcMar>
            <w:vAlign w:val="center"/>
          </w:tcPr>
          <w:p w14:paraId="753620E0">
            <w:pPr>
              <w:keepNext/>
              <w:keepLines/>
              <w:spacing w:before="0" w:after="0" w:line="240" w:lineRule="auto"/>
              <w:jc w:val="right"/>
            </w:pPr>
            <w:r>
              <w:rPr>
                <w:rFonts w:ascii="Times New Roman" w:hAnsi="Times New Roman"/>
                <w:sz w:val="18"/>
              </w:rPr>
              <w:t>-</w:t>
            </w:r>
          </w:p>
        </w:tc>
      </w:tr>
    </w:tbl>
    <w:p w14:paraId="1EFD483C">
      <w:pPr>
        <w:spacing w:before="0" w:after="0"/>
      </w:pPr>
    </w:p>
    <w:p w14:paraId="676CE5CE">
      <w:r>
        <w:t>Stanje dospjelih obveza na kraju izvještajnog razdoblja odnosi se na troškove marendi učenika, budući će prihod za pokriće troškova nastalih u prosincu biti doznačena u siječnju 2026.</w:t>
      </w:r>
    </w:p>
    <w:p w14:paraId="0905FB58"/>
    <w:p w14:paraId="2BC9AF96">
      <w:pPr>
        <w:keepNext/>
        <w:spacing w:line="240" w:lineRule="auto"/>
        <w:jc w:val="center"/>
      </w:pPr>
      <w:r>
        <w:rPr>
          <w:rFonts w:ascii="Times New Roman" w:hAnsi="Times New Roman"/>
          <w:sz w:val="28"/>
        </w:rPr>
        <w:t>Bilješka 33.</w:t>
      </w:r>
    </w:p>
    <w:tbl>
      <w:tblPr>
        <w:tblStyle w:val="3"/>
        <w:tblW w:w="9000" w:type="dxa"/>
        <w:tblInd w:w="0" w:type="dxa"/>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Layout w:type="fixed"/>
        <w:tblCellMar>
          <w:top w:w="0" w:type="dxa"/>
          <w:left w:w="40" w:type="dxa"/>
          <w:bottom w:w="0" w:type="dxa"/>
          <w:right w:w="40" w:type="dxa"/>
        </w:tblCellMar>
      </w:tblPr>
      <w:tblGrid>
        <w:gridCol w:w="700"/>
        <w:gridCol w:w="3180"/>
        <w:gridCol w:w="700"/>
        <w:gridCol w:w="1860"/>
        <w:gridCol w:w="700"/>
      </w:tblGrid>
      <w:tr w14:paraId="6E2CE5E2">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Pr>
        <w:tc>
          <w:tcPr>
            <w:shd w:val="clear" w:color="auto" w:fill="E7F0F9"/>
            <w:tcMar>
              <w:top w:w="0" w:type="dxa"/>
              <w:bottom w:w="0" w:type="dxa"/>
            </w:tcMar>
            <w:vAlign w:val="center"/>
          </w:tcPr>
          <w:p w14:paraId="25B38F6E">
            <w:pPr>
              <w:keepNext/>
              <w:keepLines/>
              <w:spacing w:before="0" w:after="0" w:line="240" w:lineRule="auto"/>
              <w:jc w:val="center"/>
            </w:pPr>
            <w:r>
              <w:rPr>
                <w:rFonts w:ascii="Times New Roman" w:hAnsi="Times New Roman"/>
                <w:b/>
                <w:sz w:val="18"/>
              </w:rPr>
              <w:t>Račun iz rač. plana</w:t>
            </w:r>
          </w:p>
        </w:tc>
        <w:tc>
          <w:tcPr>
            <w:shd w:val="clear" w:color="auto" w:fill="E7F0F9"/>
            <w:tcMar>
              <w:top w:w="0" w:type="dxa"/>
              <w:bottom w:w="0" w:type="dxa"/>
            </w:tcMar>
            <w:vAlign w:val="center"/>
          </w:tcPr>
          <w:p w14:paraId="03736425">
            <w:pPr>
              <w:keepNext/>
              <w:keepLines/>
              <w:spacing w:before="0" w:after="0" w:line="240" w:lineRule="auto"/>
              <w:jc w:val="center"/>
            </w:pPr>
            <w:r>
              <w:rPr>
                <w:rFonts w:ascii="Times New Roman" w:hAnsi="Times New Roman"/>
                <w:b/>
                <w:sz w:val="18"/>
              </w:rPr>
              <w:t>Opis stavke</w:t>
            </w:r>
          </w:p>
        </w:tc>
        <w:tc>
          <w:tcPr>
            <w:shd w:val="clear" w:color="auto" w:fill="E7F0F9"/>
            <w:tcMar>
              <w:top w:w="0" w:type="dxa"/>
              <w:bottom w:w="0" w:type="dxa"/>
            </w:tcMar>
            <w:vAlign w:val="center"/>
          </w:tcPr>
          <w:p w14:paraId="5DE966E9">
            <w:pPr>
              <w:keepNext/>
              <w:keepLines/>
              <w:spacing w:before="0" w:after="0" w:line="240" w:lineRule="auto"/>
              <w:jc w:val="center"/>
            </w:pPr>
            <w:r>
              <w:rPr>
                <w:rFonts w:ascii="Times New Roman" w:hAnsi="Times New Roman"/>
                <w:b/>
                <w:sz w:val="18"/>
              </w:rPr>
              <w:t>Šifra</w:t>
            </w:r>
          </w:p>
        </w:tc>
        <w:tc>
          <w:tcPr>
            <w:shd w:val="clear" w:color="auto" w:fill="E7F0F9"/>
            <w:tcMar>
              <w:top w:w="0" w:type="dxa"/>
              <w:bottom w:w="0" w:type="dxa"/>
            </w:tcMar>
            <w:vAlign w:val="center"/>
          </w:tcPr>
          <w:p w14:paraId="25DFECD2">
            <w:pPr>
              <w:keepNext/>
              <w:keepLines/>
              <w:spacing w:before="0" w:after="0" w:line="240" w:lineRule="auto"/>
              <w:jc w:val="center"/>
            </w:pPr>
            <w:r>
              <w:rPr>
                <w:rFonts w:ascii="Times New Roman" w:hAnsi="Times New Roman"/>
                <w:b/>
                <w:sz w:val="18"/>
              </w:rPr>
              <w:t>Iznos</w:t>
            </w:r>
          </w:p>
        </w:tc>
        <w:tc>
          <w:tcPr>
            <w:shd w:val="clear" w:color="auto" w:fill="E7F0F9"/>
            <w:tcMar>
              <w:top w:w="0" w:type="dxa"/>
              <w:bottom w:w="0" w:type="dxa"/>
            </w:tcMar>
            <w:vAlign w:val="center"/>
          </w:tcPr>
          <w:p w14:paraId="0B5FAD33">
            <w:pPr>
              <w:keepNext/>
              <w:keepLines/>
              <w:spacing w:before="0" w:after="0" w:line="240" w:lineRule="auto"/>
              <w:jc w:val="center"/>
            </w:pPr>
            <w:r>
              <w:rPr>
                <w:rFonts w:ascii="Times New Roman" w:hAnsi="Times New Roman"/>
                <w:b/>
                <w:sz w:val="18"/>
              </w:rPr>
              <w:t>Indeks (%)</w:t>
            </w:r>
          </w:p>
        </w:tc>
      </w:tr>
      <w:tr w14:paraId="10BE4B14">
        <w:tblPrEx>
          <w:tblBorders>
            <w:top w:val="single" w:color="BABABA" w:sz="12" w:space="0"/>
            <w:left w:val="single" w:color="BABABA" w:sz="12" w:space="0"/>
            <w:bottom w:val="single" w:color="BABABA" w:sz="12" w:space="0"/>
            <w:right w:val="single" w:color="BABABA" w:sz="12" w:space="0"/>
            <w:insideH w:val="single" w:color="BABABA" w:sz="8" w:space="0"/>
            <w:insideV w:val="single" w:color="DADADA" w:sz="8" w:space="0"/>
          </w:tblBorders>
          <w:tblCellMar>
            <w:top w:w="0" w:type="dxa"/>
            <w:left w:w="40" w:type="dxa"/>
            <w:bottom w:w="0" w:type="dxa"/>
            <w:right w:w="40" w:type="dxa"/>
          </w:tblCellMar>
        </w:tblPrEx>
        <w:trPr>
          <w:cantSplit/>
          <w:trHeight w:val="560" w:hRule="atLeast"/>
        </w:trPr>
        <w:tc>
          <w:tcPr>
            <w:tcMar>
              <w:top w:w="0" w:type="dxa"/>
              <w:bottom w:w="0" w:type="dxa"/>
            </w:tcMar>
            <w:vAlign w:val="center"/>
          </w:tcPr>
          <w:p w14:paraId="4196F0E0">
            <w:pPr>
              <w:keepNext/>
              <w:keepLines/>
              <w:spacing w:before="0" w:after="0" w:line="240" w:lineRule="auto"/>
              <w:jc w:val="left"/>
            </w:pPr>
            <w:r>
              <w:rPr>
                <w:rFonts w:ascii="Times New Roman" w:hAnsi="Times New Roman"/>
                <w:sz w:val="18"/>
              </w:rPr>
              <w:t>23</w:t>
            </w:r>
          </w:p>
        </w:tc>
        <w:tc>
          <w:tcPr>
            <w:tcMar>
              <w:top w:w="0" w:type="dxa"/>
              <w:bottom w:w="0" w:type="dxa"/>
            </w:tcMar>
            <w:vAlign w:val="center"/>
          </w:tcPr>
          <w:p w14:paraId="79613EC6">
            <w:pPr>
              <w:keepNext/>
              <w:keepLines/>
              <w:spacing w:before="0" w:after="0" w:line="240" w:lineRule="auto"/>
              <w:jc w:val="left"/>
            </w:pPr>
            <w:r>
              <w:rPr>
                <w:rFonts w:ascii="Times New Roman" w:hAnsi="Times New Roman"/>
                <w:sz w:val="18"/>
              </w:rPr>
              <w:t>Obveze za rashode poslovanja</w:t>
            </w:r>
          </w:p>
        </w:tc>
        <w:tc>
          <w:tcPr>
            <w:tcMar>
              <w:top w:w="0" w:type="dxa"/>
              <w:bottom w:w="0" w:type="dxa"/>
            </w:tcMar>
            <w:vAlign w:val="center"/>
          </w:tcPr>
          <w:p w14:paraId="53E953D4">
            <w:pPr>
              <w:keepNext/>
              <w:keepLines/>
              <w:spacing w:before="0" w:after="0" w:line="240" w:lineRule="auto"/>
              <w:jc w:val="left"/>
            </w:pPr>
            <w:r>
              <w:rPr>
                <w:rFonts w:ascii="Times New Roman" w:hAnsi="Times New Roman"/>
                <w:sz w:val="18"/>
              </w:rPr>
              <w:t>ND23</w:t>
            </w:r>
          </w:p>
        </w:tc>
        <w:tc>
          <w:tcPr>
            <w:tcMar>
              <w:top w:w="0" w:type="dxa"/>
              <w:bottom w:w="0" w:type="dxa"/>
            </w:tcMar>
            <w:vAlign w:val="center"/>
          </w:tcPr>
          <w:p w14:paraId="2C647208">
            <w:pPr>
              <w:keepNext/>
              <w:keepLines/>
              <w:spacing w:before="0" w:after="0" w:line="240" w:lineRule="auto"/>
              <w:jc w:val="right"/>
            </w:pPr>
            <w:r>
              <w:rPr>
                <w:rFonts w:ascii="Times New Roman" w:hAnsi="Times New Roman"/>
                <w:sz w:val="18"/>
              </w:rPr>
              <w:t>57.346,68</w:t>
            </w:r>
          </w:p>
        </w:tc>
        <w:tc>
          <w:tcPr>
            <w:tcMar>
              <w:top w:w="0" w:type="dxa"/>
              <w:bottom w:w="0" w:type="dxa"/>
            </w:tcMar>
            <w:vAlign w:val="center"/>
          </w:tcPr>
          <w:p w14:paraId="7457572C">
            <w:pPr>
              <w:keepNext/>
              <w:keepLines/>
              <w:spacing w:before="0" w:after="0" w:line="240" w:lineRule="auto"/>
              <w:jc w:val="right"/>
            </w:pPr>
            <w:r>
              <w:rPr>
                <w:rFonts w:ascii="Times New Roman" w:hAnsi="Times New Roman"/>
                <w:sz w:val="18"/>
              </w:rPr>
              <w:t>-</w:t>
            </w:r>
          </w:p>
        </w:tc>
      </w:tr>
    </w:tbl>
    <w:p w14:paraId="3C19B1DD">
      <w:pPr>
        <w:spacing w:before="0" w:after="0"/>
      </w:pPr>
    </w:p>
    <w:p w14:paraId="718C2ADB">
      <w:r>
        <w:t>Škola je tijekom godine redovito podmirivala svoje obveze , a prikazani iznos odnosi se na plaću i režijske troškove za prosinac 2025. godine.</w:t>
      </w:r>
    </w:p>
    <w:p w14:paraId="666D3F33"/>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92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sz w:val="24"/>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2026-01-30T09:21:59Z</dcterms:created>
  <dc:creator>Korisnik</dc:creator>
  <cp:lastModifiedBy>Korisnik</cp:lastModifiedBy>
  <dcterms:modified xsi:type="dcterms:W3CDTF">2026-01-30T09:22:38Z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D59F67B4175449E3A230F684A6BB7AB0_13</vt:lpwstr>
  </property>
</Properties>
</file>